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3" w:rsidRPr="005144BE" w:rsidRDefault="00840B69" w:rsidP="00966E8E">
      <w:pPr>
        <w:spacing w:after="0" w:line="360" w:lineRule="auto"/>
        <w:jc w:val="center"/>
        <w:rPr>
          <w:rFonts w:ascii="Times New Roman" w:hAnsi="Times New Roman" w:cs="Times New Roman"/>
          <w:sz w:val="24"/>
          <w:lang w:val="uk-UA"/>
        </w:rPr>
      </w:pPr>
      <w:r w:rsidRPr="005144BE">
        <w:rPr>
          <w:rFonts w:ascii="Times New Roman" w:hAnsi="Times New Roman" w:cs="Times New Roman"/>
          <w:sz w:val="24"/>
          <w:vertAlign w:val="superscript"/>
          <w:lang w:val="uk-UA"/>
        </w:rPr>
        <w:t>1</w:t>
      </w:r>
      <w:r w:rsidR="00966E8E" w:rsidRPr="005144BE">
        <w:rPr>
          <w:rFonts w:ascii="Times New Roman" w:hAnsi="Times New Roman" w:cs="Times New Roman"/>
          <w:sz w:val="24"/>
          <w:lang w:val="uk-UA"/>
        </w:rPr>
        <w:t xml:space="preserve">Чуєнко А.І., </w:t>
      </w:r>
      <w:r w:rsidRPr="005144BE">
        <w:rPr>
          <w:rFonts w:ascii="Times New Roman" w:hAnsi="Times New Roman" w:cs="Times New Roman"/>
          <w:sz w:val="24"/>
          <w:vertAlign w:val="superscript"/>
          <w:lang w:val="uk-UA"/>
        </w:rPr>
        <w:t>2</w:t>
      </w:r>
      <w:r w:rsidR="00966E8E" w:rsidRPr="005144BE">
        <w:rPr>
          <w:rFonts w:ascii="Times New Roman" w:hAnsi="Times New Roman" w:cs="Times New Roman"/>
          <w:sz w:val="24"/>
          <w:lang w:val="uk-UA"/>
        </w:rPr>
        <w:t>Савчук Я.І.</w:t>
      </w:r>
      <w:r w:rsidR="008442C2" w:rsidRPr="005144BE">
        <w:rPr>
          <w:rFonts w:ascii="Times New Roman" w:hAnsi="Times New Roman" w:cs="Times New Roman"/>
          <w:sz w:val="24"/>
          <w:lang w:val="uk-UA"/>
        </w:rPr>
        <w:t xml:space="preserve">, </w:t>
      </w:r>
      <w:r w:rsidR="008442C2" w:rsidRPr="005144BE">
        <w:rPr>
          <w:rFonts w:ascii="Times New Roman" w:hAnsi="Times New Roman" w:cs="Times New Roman"/>
          <w:sz w:val="24"/>
          <w:vertAlign w:val="superscript"/>
          <w:lang w:val="uk-UA"/>
        </w:rPr>
        <w:t>1</w:t>
      </w:r>
      <w:r w:rsidR="008442C2" w:rsidRPr="005144BE">
        <w:rPr>
          <w:rFonts w:ascii="Times New Roman" w:hAnsi="Times New Roman" w:cs="Times New Roman"/>
          <w:sz w:val="24"/>
          <w:lang w:val="uk-UA"/>
        </w:rPr>
        <w:t>Письменна Ю.Б.</w:t>
      </w:r>
    </w:p>
    <w:p w:rsidR="00BB4054" w:rsidRPr="005144BE" w:rsidRDefault="00BB4054" w:rsidP="00966E8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5144BE">
        <w:rPr>
          <w:rFonts w:ascii="Times New Roman" w:hAnsi="Times New Roman" w:cs="Times New Roman"/>
          <w:b/>
          <w:sz w:val="24"/>
          <w:lang w:val="uk-UA"/>
        </w:rPr>
        <w:t>Фунгіцидна активність нових похідн</w:t>
      </w:r>
      <w:r w:rsidR="004C469B">
        <w:rPr>
          <w:rFonts w:ascii="Times New Roman" w:hAnsi="Times New Roman" w:cs="Times New Roman"/>
          <w:b/>
          <w:sz w:val="24"/>
          <w:lang w:val="uk-UA"/>
        </w:rPr>
        <w:t>их</w:t>
      </w:r>
      <w:r w:rsidRPr="005144BE">
        <w:rPr>
          <w:rFonts w:ascii="Times New Roman" w:hAnsi="Times New Roman" w:cs="Times New Roman"/>
          <w:b/>
          <w:sz w:val="24"/>
          <w:lang w:val="uk-UA"/>
        </w:rPr>
        <w:t xml:space="preserve"> гуанідину щодо</w:t>
      </w:r>
    </w:p>
    <w:p w:rsidR="00966E8E" w:rsidRPr="005144BE" w:rsidRDefault="00BB4054" w:rsidP="00966E8E">
      <w:pPr>
        <w:spacing w:after="0" w:line="360" w:lineRule="auto"/>
        <w:jc w:val="center"/>
        <w:rPr>
          <w:rFonts w:ascii="Times New Roman" w:hAnsi="Times New Roman" w:cs="Times New Roman"/>
          <w:sz w:val="24"/>
          <w:lang w:val="uk-UA"/>
        </w:rPr>
      </w:pPr>
      <w:r w:rsidRPr="005144BE">
        <w:rPr>
          <w:rFonts w:ascii="Times New Roman" w:hAnsi="Times New Roman" w:cs="Times New Roman"/>
          <w:b/>
          <w:sz w:val="24"/>
          <w:lang w:val="uk-UA"/>
        </w:rPr>
        <w:t>мікроміцетів – контамінантів повітря книгосховищ</w:t>
      </w:r>
      <w:r w:rsidR="00966E8E" w:rsidRPr="005144BE">
        <w:rPr>
          <w:rFonts w:ascii="Times New Roman" w:hAnsi="Times New Roman" w:cs="Times New Roman"/>
          <w:b/>
          <w:sz w:val="24"/>
          <w:lang w:val="uk-UA"/>
        </w:rPr>
        <w:t>.</w:t>
      </w:r>
      <w:r w:rsidR="00966E8E" w:rsidRPr="005144BE">
        <w:rPr>
          <w:rFonts w:ascii="Times New Roman" w:hAnsi="Times New Roman" w:cs="Times New Roman"/>
          <w:sz w:val="24"/>
          <w:lang w:val="uk-UA"/>
        </w:rPr>
        <w:t xml:space="preserve"> </w:t>
      </w:r>
    </w:p>
    <w:p w:rsidR="00840B69" w:rsidRPr="005144BE" w:rsidRDefault="00840B69" w:rsidP="00966E8E">
      <w:pPr>
        <w:spacing w:after="0" w:line="360" w:lineRule="auto"/>
        <w:jc w:val="center"/>
        <w:rPr>
          <w:rFonts w:ascii="Times New Roman" w:hAnsi="Times New Roman" w:cs="Times New Roman"/>
          <w:sz w:val="24"/>
          <w:lang w:val="uk-UA"/>
        </w:rPr>
      </w:pPr>
      <w:r w:rsidRPr="005144BE">
        <w:rPr>
          <w:rFonts w:ascii="Times New Roman" w:hAnsi="Times New Roman" w:cs="Times New Roman"/>
          <w:sz w:val="24"/>
          <w:vertAlign w:val="superscript"/>
          <w:lang w:val="uk-UA"/>
        </w:rPr>
        <w:t>1</w:t>
      </w:r>
      <w:r w:rsidRPr="005144BE">
        <w:rPr>
          <w:rFonts w:ascii="Times New Roman" w:hAnsi="Times New Roman" w:cs="Times New Roman"/>
          <w:sz w:val="24"/>
          <w:lang w:val="uk-UA"/>
        </w:rPr>
        <w:t>Інститут мікробіології і вірусології ім. Д.К. Заболотного</w:t>
      </w:r>
      <w:r w:rsidRPr="005144BE">
        <w:rPr>
          <w:rFonts w:ascii="Times New Roman" w:hAnsi="Times New Roman" w:cs="Times New Roman"/>
          <w:sz w:val="24"/>
        </w:rPr>
        <w:t xml:space="preserve"> НАНУ</w:t>
      </w:r>
    </w:p>
    <w:p w:rsidR="00840B69" w:rsidRPr="005144BE" w:rsidRDefault="00840B69" w:rsidP="00966E8E">
      <w:pPr>
        <w:spacing w:after="0" w:line="360" w:lineRule="auto"/>
        <w:jc w:val="center"/>
        <w:rPr>
          <w:rFonts w:ascii="Times New Roman" w:hAnsi="Times New Roman" w:cs="Times New Roman"/>
          <w:sz w:val="24"/>
          <w:lang w:val="uk-UA"/>
        </w:rPr>
      </w:pPr>
      <w:r w:rsidRPr="005144BE">
        <w:rPr>
          <w:rFonts w:ascii="Times New Roman" w:hAnsi="Times New Roman" w:cs="Times New Roman"/>
          <w:sz w:val="24"/>
          <w:vertAlign w:val="superscript"/>
          <w:lang w:val="uk-UA"/>
        </w:rPr>
        <w:t>2</w:t>
      </w:r>
      <w:r w:rsidRPr="005144BE">
        <w:rPr>
          <w:rFonts w:ascii="Times New Roman" w:hAnsi="Times New Roman" w:cs="Times New Roman"/>
          <w:sz w:val="24"/>
          <w:lang w:val="uk-UA"/>
        </w:rPr>
        <w:t xml:space="preserve">Національна бібліотека України ім. Вернадського </w:t>
      </w:r>
    </w:p>
    <w:p w:rsidR="00966E8E" w:rsidRPr="005144BE" w:rsidRDefault="00966E8E" w:rsidP="00966E8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5144BE">
        <w:rPr>
          <w:rFonts w:ascii="Times New Roman" w:hAnsi="Times New Roman" w:cs="Times New Roman"/>
          <w:b/>
          <w:sz w:val="24"/>
          <w:lang w:val="uk-UA"/>
        </w:rPr>
        <w:t xml:space="preserve">Анотація </w:t>
      </w:r>
    </w:p>
    <w:p w:rsidR="00966E8E" w:rsidRPr="005144BE" w:rsidRDefault="00080DA8" w:rsidP="00080D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5144BE">
        <w:rPr>
          <w:rFonts w:ascii="Times New Roman" w:hAnsi="Times New Roman" w:cs="Times New Roman"/>
          <w:sz w:val="24"/>
          <w:lang w:val="uk-UA"/>
        </w:rPr>
        <w:t>Досліджено видовий склад мікро</w:t>
      </w:r>
      <w:r w:rsidR="00D7395E" w:rsidRPr="005144BE">
        <w:rPr>
          <w:rFonts w:ascii="Times New Roman" w:hAnsi="Times New Roman" w:cs="Times New Roman"/>
          <w:sz w:val="24"/>
          <w:lang w:val="uk-UA"/>
        </w:rPr>
        <w:t>міцетів</w:t>
      </w:r>
      <w:r w:rsidRPr="005144BE">
        <w:rPr>
          <w:rFonts w:ascii="Times New Roman" w:hAnsi="Times New Roman" w:cs="Times New Roman"/>
          <w:sz w:val="24"/>
          <w:lang w:val="uk-UA"/>
        </w:rPr>
        <w:t>-контамінантів повітря фондів 1</w:t>
      </w:r>
      <w:r w:rsidR="00933D2C" w:rsidRPr="005144BE">
        <w:rPr>
          <w:rFonts w:ascii="Times New Roman" w:hAnsi="Times New Roman" w:cs="Times New Roman"/>
          <w:sz w:val="24"/>
          <w:lang w:val="uk-UA"/>
        </w:rPr>
        <w:t>7</w:t>
      </w:r>
      <w:r w:rsidRPr="005144BE">
        <w:rPr>
          <w:rFonts w:ascii="Times New Roman" w:hAnsi="Times New Roman" w:cs="Times New Roman"/>
          <w:sz w:val="24"/>
          <w:lang w:val="uk-UA"/>
        </w:rPr>
        <w:t xml:space="preserve"> наукових бібліотек м. Києва. Виявлено, що у мікобіоті досліджених приміщень найчастіше трапляються види </w:t>
      </w:r>
      <w:r w:rsidRPr="005144BE">
        <w:rPr>
          <w:rFonts w:ascii="Times New Roman" w:hAnsi="Times New Roman" w:cs="Times New Roman"/>
          <w:i/>
          <w:sz w:val="24"/>
          <w:lang w:val="en-US"/>
        </w:rPr>
        <w:t>Alternaria</w:t>
      </w:r>
      <w:r w:rsidRPr="005144BE">
        <w:rPr>
          <w:rFonts w:ascii="Times New Roman" w:hAnsi="Times New Roman" w:cs="Times New Roman"/>
          <w:i/>
          <w:sz w:val="24"/>
          <w:lang w:val="uk-UA"/>
        </w:rPr>
        <w:t xml:space="preserve"> </w:t>
      </w:r>
      <w:r w:rsidRPr="005144BE">
        <w:rPr>
          <w:rFonts w:ascii="Times New Roman" w:hAnsi="Times New Roman" w:cs="Times New Roman"/>
          <w:i/>
          <w:sz w:val="24"/>
          <w:lang w:val="en-US"/>
        </w:rPr>
        <w:t>alternata</w:t>
      </w:r>
      <w:r w:rsidRPr="005144BE">
        <w:rPr>
          <w:rFonts w:ascii="Times New Roman" w:hAnsi="Times New Roman" w:cs="Times New Roman"/>
          <w:i/>
          <w:sz w:val="24"/>
          <w:lang w:val="uk-UA"/>
        </w:rPr>
        <w:t xml:space="preserve">, </w:t>
      </w:r>
      <w:r w:rsidRPr="005144BE">
        <w:rPr>
          <w:rFonts w:ascii="Times New Roman" w:hAnsi="Times New Roman" w:cs="Times New Roman"/>
          <w:i/>
          <w:sz w:val="24"/>
          <w:lang w:val="en-US"/>
        </w:rPr>
        <w:t>Cladosporium</w:t>
      </w:r>
      <w:r w:rsidRPr="005144BE">
        <w:rPr>
          <w:rFonts w:ascii="Times New Roman" w:hAnsi="Times New Roman" w:cs="Times New Roman"/>
          <w:i/>
          <w:sz w:val="24"/>
          <w:lang w:val="uk-UA"/>
        </w:rPr>
        <w:t xml:space="preserve"> </w:t>
      </w:r>
      <w:r w:rsidRPr="005144BE">
        <w:rPr>
          <w:rFonts w:ascii="Times New Roman" w:hAnsi="Times New Roman" w:cs="Times New Roman"/>
          <w:i/>
          <w:sz w:val="24"/>
          <w:lang w:val="en-US"/>
        </w:rPr>
        <w:t>cladosporioides</w:t>
      </w:r>
      <w:r w:rsidRPr="005144BE">
        <w:rPr>
          <w:rFonts w:ascii="Times New Roman" w:hAnsi="Times New Roman" w:cs="Times New Roman"/>
          <w:i/>
          <w:sz w:val="24"/>
          <w:lang w:val="uk-UA"/>
        </w:rPr>
        <w:t xml:space="preserve">, </w:t>
      </w:r>
      <w:r w:rsidRPr="005144BE">
        <w:rPr>
          <w:rFonts w:ascii="Times New Roman" w:hAnsi="Times New Roman" w:cs="Times New Roman"/>
          <w:i/>
          <w:sz w:val="24"/>
          <w:lang w:val="en-US"/>
        </w:rPr>
        <w:t>C</w:t>
      </w:r>
      <w:r w:rsidRPr="005144BE">
        <w:rPr>
          <w:rFonts w:ascii="Times New Roman" w:hAnsi="Times New Roman" w:cs="Times New Roman"/>
          <w:i/>
          <w:sz w:val="24"/>
          <w:lang w:val="uk-UA"/>
        </w:rPr>
        <w:t xml:space="preserve">. </w:t>
      </w:r>
      <w:proofErr w:type="gramStart"/>
      <w:r w:rsidRPr="005144BE">
        <w:rPr>
          <w:rFonts w:ascii="Times New Roman" w:hAnsi="Times New Roman" w:cs="Times New Roman"/>
          <w:i/>
          <w:sz w:val="24"/>
          <w:lang w:val="en-US"/>
        </w:rPr>
        <w:t>sphaerospermum</w:t>
      </w:r>
      <w:proofErr w:type="gramEnd"/>
      <w:r w:rsidRPr="005144BE">
        <w:rPr>
          <w:rFonts w:ascii="Times New Roman" w:hAnsi="Times New Roman" w:cs="Times New Roman"/>
          <w:i/>
          <w:sz w:val="24"/>
          <w:lang w:val="uk-UA"/>
        </w:rPr>
        <w:t xml:space="preserve">, </w:t>
      </w:r>
      <w:r w:rsidRPr="005144BE">
        <w:rPr>
          <w:rFonts w:ascii="Times New Roman" w:hAnsi="Times New Roman" w:cs="Times New Roman"/>
          <w:sz w:val="24"/>
          <w:lang w:val="uk-UA"/>
        </w:rPr>
        <w:t xml:space="preserve">та представники роду </w:t>
      </w:r>
      <w:r w:rsidRPr="005144BE">
        <w:rPr>
          <w:rFonts w:ascii="Times New Roman" w:hAnsi="Times New Roman" w:cs="Times New Roman"/>
          <w:i/>
          <w:sz w:val="24"/>
          <w:lang w:val="en-US"/>
        </w:rPr>
        <w:t>Penicillium</w:t>
      </w:r>
      <w:r w:rsidRPr="005144BE">
        <w:rPr>
          <w:rFonts w:ascii="Times New Roman" w:hAnsi="Times New Roman" w:cs="Times New Roman"/>
          <w:sz w:val="24"/>
          <w:lang w:val="uk-UA"/>
        </w:rPr>
        <w:t xml:space="preserve">. </w:t>
      </w:r>
      <w:r w:rsidR="00933D2C" w:rsidRPr="005144BE">
        <w:rPr>
          <w:rFonts w:ascii="Times New Roman" w:hAnsi="Times New Roman" w:cs="Times New Roman"/>
          <w:sz w:val="24"/>
          <w:lang w:val="uk-UA"/>
        </w:rPr>
        <w:t>Вивчено антифунгальні властивості ряду препаратів щодо виділених мікроскопічних грибів</w:t>
      </w:r>
      <w:r w:rsidRPr="005144BE">
        <w:rPr>
          <w:rFonts w:ascii="Times New Roman" w:hAnsi="Times New Roman" w:cs="Times New Roman"/>
          <w:sz w:val="24"/>
          <w:lang w:val="uk-UA"/>
        </w:rPr>
        <w:t>.</w:t>
      </w:r>
    </w:p>
    <w:p w:rsidR="00966E8E" w:rsidRPr="005144BE" w:rsidRDefault="00966E8E" w:rsidP="00966E8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5144BE">
        <w:rPr>
          <w:rFonts w:ascii="Times New Roman" w:hAnsi="Times New Roman" w:cs="Times New Roman"/>
          <w:b/>
          <w:sz w:val="24"/>
          <w:lang w:val="uk-UA"/>
        </w:rPr>
        <w:t xml:space="preserve">Summary </w:t>
      </w:r>
    </w:p>
    <w:p w:rsidR="00BA5850" w:rsidRPr="005144BE" w:rsidRDefault="00D7395E" w:rsidP="00080D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  <w:r w:rsidRPr="005144BE">
        <w:rPr>
          <w:rFonts w:ascii="Times New Roman" w:hAnsi="Times New Roman" w:cs="Times New Roman"/>
          <w:sz w:val="24"/>
          <w:lang w:val="en-US"/>
        </w:rPr>
        <w:t>It has been studied special composition of micromycetes in the air of funds of 1</w:t>
      </w:r>
      <w:r w:rsidR="00BA5850" w:rsidRPr="005144BE">
        <w:rPr>
          <w:rFonts w:ascii="Times New Roman" w:hAnsi="Times New Roman" w:cs="Times New Roman"/>
          <w:sz w:val="24"/>
          <w:lang w:val="en-US"/>
        </w:rPr>
        <w:t>7</w:t>
      </w:r>
      <w:r w:rsidRPr="005144BE">
        <w:rPr>
          <w:rFonts w:ascii="Times New Roman" w:hAnsi="Times New Roman" w:cs="Times New Roman"/>
          <w:sz w:val="24"/>
          <w:lang w:val="en-US"/>
        </w:rPr>
        <w:t xml:space="preserve"> scientific libraries of Kyiv city. It has been detected that most occurred species in investigated mycobiota were </w:t>
      </w:r>
      <w:r w:rsidRPr="005144BE">
        <w:rPr>
          <w:rFonts w:ascii="Times New Roman" w:hAnsi="Times New Roman" w:cs="Times New Roman"/>
          <w:i/>
          <w:sz w:val="24"/>
          <w:lang w:val="en-US"/>
        </w:rPr>
        <w:t>Alternaria</w:t>
      </w:r>
      <w:r w:rsidRPr="005144BE">
        <w:rPr>
          <w:rFonts w:ascii="Times New Roman" w:hAnsi="Times New Roman" w:cs="Times New Roman"/>
          <w:i/>
          <w:sz w:val="24"/>
          <w:lang w:val="uk-UA"/>
        </w:rPr>
        <w:t xml:space="preserve"> </w:t>
      </w:r>
      <w:r w:rsidRPr="005144BE">
        <w:rPr>
          <w:rFonts w:ascii="Times New Roman" w:hAnsi="Times New Roman" w:cs="Times New Roman"/>
          <w:i/>
          <w:sz w:val="24"/>
          <w:lang w:val="en-US"/>
        </w:rPr>
        <w:t>alternata</w:t>
      </w:r>
      <w:r w:rsidRPr="005144BE">
        <w:rPr>
          <w:rFonts w:ascii="Times New Roman" w:hAnsi="Times New Roman" w:cs="Times New Roman"/>
          <w:i/>
          <w:sz w:val="24"/>
          <w:lang w:val="uk-UA"/>
        </w:rPr>
        <w:t xml:space="preserve">, </w:t>
      </w:r>
      <w:r w:rsidRPr="005144BE">
        <w:rPr>
          <w:rFonts w:ascii="Times New Roman" w:hAnsi="Times New Roman" w:cs="Times New Roman"/>
          <w:i/>
          <w:sz w:val="24"/>
          <w:lang w:val="en-US"/>
        </w:rPr>
        <w:t>Cladosporium</w:t>
      </w:r>
      <w:r w:rsidRPr="005144BE">
        <w:rPr>
          <w:rFonts w:ascii="Times New Roman" w:hAnsi="Times New Roman" w:cs="Times New Roman"/>
          <w:i/>
          <w:sz w:val="24"/>
          <w:lang w:val="uk-UA"/>
        </w:rPr>
        <w:t xml:space="preserve"> </w:t>
      </w:r>
      <w:r w:rsidRPr="005144BE">
        <w:rPr>
          <w:rFonts w:ascii="Times New Roman" w:hAnsi="Times New Roman" w:cs="Times New Roman"/>
          <w:i/>
          <w:sz w:val="24"/>
          <w:lang w:val="en-US"/>
        </w:rPr>
        <w:t>cladosporioides</w:t>
      </w:r>
      <w:r w:rsidRPr="005144BE">
        <w:rPr>
          <w:rFonts w:ascii="Times New Roman" w:hAnsi="Times New Roman" w:cs="Times New Roman"/>
          <w:i/>
          <w:sz w:val="24"/>
          <w:lang w:val="uk-UA"/>
        </w:rPr>
        <w:t xml:space="preserve">, </w:t>
      </w:r>
      <w:r w:rsidRPr="005144BE">
        <w:rPr>
          <w:rFonts w:ascii="Times New Roman" w:hAnsi="Times New Roman" w:cs="Times New Roman"/>
          <w:i/>
          <w:sz w:val="24"/>
          <w:lang w:val="en-US"/>
        </w:rPr>
        <w:t>C</w:t>
      </w:r>
      <w:r w:rsidRPr="005144BE">
        <w:rPr>
          <w:rFonts w:ascii="Times New Roman" w:hAnsi="Times New Roman" w:cs="Times New Roman"/>
          <w:i/>
          <w:sz w:val="24"/>
          <w:lang w:val="uk-UA"/>
        </w:rPr>
        <w:t xml:space="preserve">. </w:t>
      </w:r>
      <w:r w:rsidRPr="005144BE">
        <w:rPr>
          <w:rFonts w:ascii="Times New Roman" w:hAnsi="Times New Roman" w:cs="Times New Roman"/>
          <w:i/>
          <w:sz w:val="24"/>
          <w:lang w:val="en-US"/>
        </w:rPr>
        <w:t xml:space="preserve">sphaerospermum </w:t>
      </w:r>
      <w:r w:rsidRPr="005144BE">
        <w:rPr>
          <w:rFonts w:ascii="Times New Roman" w:hAnsi="Times New Roman" w:cs="Times New Roman"/>
          <w:sz w:val="24"/>
          <w:lang w:val="en-US"/>
        </w:rPr>
        <w:t xml:space="preserve">and representatives of genus </w:t>
      </w:r>
      <w:r w:rsidRPr="005144BE">
        <w:rPr>
          <w:rFonts w:ascii="Times New Roman" w:hAnsi="Times New Roman" w:cs="Times New Roman"/>
          <w:i/>
          <w:sz w:val="24"/>
          <w:lang w:val="en-US"/>
        </w:rPr>
        <w:t xml:space="preserve">Penicillium. </w:t>
      </w:r>
      <w:r w:rsidRPr="005144BE">
        <w:rPr>
          <w:rFonts w:ascii="Times New Roman" w:hAnsi="Times New Roman" w:cs="Times New Roman"/>
          <w:sz w:val="24"/>
          <w:lang w:val="en-US"/>
        </w:rPr>
        <w:t>It ha</w:t>
      </w:r>
      <w:r w:rsidR="00BA5850" w:rsidRPr="005144BE">
        <w:rPr>
          <w:rFonts w:ascii="Times New Roman" w:hAnsi="Times New Roman" w:cs="Times New Roman"/>
          <w:sz w:val="24"/>
          <w:lang w:val="en-US"/>
        </w:rPr>
        <w:t>s</w:t>
      </w:r>
      <w:r w:rsidRPr="005144BE">
        <w:rPr>
          <w:rFonts w:ascii="Times New Roman" w:hAnsi="Times New Roman" w:cs="Times New Roman"/>
          <w:sz w:val="24"/>
          <w:lang w:val="en-US"/>
        </w:rPr>
        <w:t xml:space="preserve"> been </w:t>
      </w:r>
      <w:r w:rsidR="00BA5850" w:rsidRPr="005144BE">
        <w:rPr>
          <w:rFonts w:ascii="Times New Roman" w:hAnsi="Times New Roman" w:cs="Times New Roman"/>
          <w:sz w:val="24"/>
          <w:lang w:val="en-US"/>
        </w:rPr>
        <w:t>studied antifungal properties of number of preparations for isolated microscopic fungi.</w:t>
      </w:r>
    </w:p>
    <w:p w:rsidR="00BA5850" w:rsidRPr="005144BE" w:rsidRDefault="00BA5850" w:rsidP="00080D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</w:p>
    <w:p w:rsidR="00BA5850" w:rsidRPr="005144BE" w:rsidRDefault="00BA5850" w:rsidP="00BA58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5144BE">
        <w:rPr>
          <w:rFonts w:ascii="Times New Roman" w:hAnsi="Times New Roman" w:cs="Times New Roman"/>
          <w:sz w:val="24"/>
          <w:lang w:val="uk-UA"/>
        </w:rPr>
        <w:t>Мікроміцети є постійними контамінантами</w:t>
      </w:r>
      <w:r w:rsidR="00966E8E" w:rsidRPr="005144BE">
        <w:rPr>
          <w:rFonts w:ascii="Times New Roman" w:hAnsi="Times New Roman" w:cs="Times New Roman"/>
          <w:sz w:val="24"/>
          <w:lang w:val="uk-UA"/>
        </w:rPr>
        <w:t xml:space="preserve"> </w:t>
      </w:r>
      <w:r w:rsidRPr="005144BE">
        <w:rPr>
          <w:rFonts w:ascii="Times New Roman" w:hAnsi="Times New Roman" w:cs="Times New Roman"/>
          <w:sz w:val="24"/>
          <w:lang w:val="uk-UA"/>
        </w:rPr>
        <w:t>повітря книгосховищ</w:t>
      </w:r>
      <w:r w:rsidR="00966E8E" w:rsidRPr="005144BE">
        <w:rPr>
          <w:rFonts w:ascii="Times New Roman" w:hAnsi="Times New Roman" w:cs="Times New Roman"/>
          <w:sz w:val="24"/>
          <w:lang w:val="uk-UA"/>
        </w:rPr>
        <w:t>.</w:t>
      </w:r>
      <w:r w:rsidRPr="005144BE">
        <w:rPr>
          <w:rFonts w:ascii="Times New Roman" w:hAnsi="Times New Roman" w:cs="Times New Roman"/>
          <w:sz w:val="24"/>
          <w:lang w:val="uk-UA"/>
        </w:rPr>
        <w:t xml:space="preserve"> Основним джерелом потрапляння мікроміцетів у повітря є ґрунт, де їх кількість може сягати 80% від загальної концентрації мікроорганізмів [</w:t>
      </w:r>
      <w:r w:rsidR="005144BE" w:rsidRPr="005144BE">
        <w:rPr>
          <w:rFonts w:ascii="Times New Roman" w:hAnsi="Times New Roman" w:cs="Times New Roman"/>
          <w:sz w:val="24"/>
          <w:lang w:val="uk-UA"/>
        </w:rPr>
        <w:t>1</w:t>
      </w:r>
      <w:r w:rsidRPr="005144BE">
        <w:rPr>
          <w:rFonts w:ascii="Times New Roman" w:hAnsi="Times New Roman" w:cs="Times New Roman"/>
          <w:sz w:val="24"/>
          <w:lang w:val="uk-UA"/>
        </w:rPr>
        <w:t>]. Концентрація спор та фрагментів міцелію в повітрі бібліотечних приміщень, призначених для зберігання друкованих джерел інформації зазвичай становить 100 – 200 колонієутворюючих одиниць (</w:t>
      </w:r>
      <w:proofErr w:type="spellStart"/>
      <w:r w:rsidRPr="005144BE">
        <w:rPr>
          <w:rFonts w:ascii="Times New Roman" w:hAnsi="Times New Roman" w:cs="Times New Roman"/>
          <w:sz w:val="24"/>
          <w:lang w:val="uk-UA"/>
        </w:rPr>
        <w:t>КУО</w:t>
      </w:r>
      <w:proofErr w:type="spellEnd"/>
      <w:r w:rsidRPr="005144BE">
        <w:rPr>
          <w:rFonts w:ascii="Times New Roman" w:hAnsi="Times New Roman" w:cs="Times New Roman"/>
          <w:sz w:val="24"/>
          <w:lang w:val="uk-UA"/>
        </w:rPr>
        <w:t>) в 1 м</w:t>
      </w:r>
      <w:r w:rsidRPr="005144BE">
        <w:rPr>
          <w:rFonts w:ascii="Times New Roman" w:hAnsi="Times New Roman" w:cs="Times New Roman"/>
          <w:sz w:val="24"/>
          <w:vertAlign w:val="superscript"/>
          <w:lang w:val="uk-UA"/>
        </w:rPr>
        <w:t>3</w:t>
      </w:r>
      <w:r w:rsidRPr="005144BE">
        <w:rPr>
          <w:rFonts w:ascii="Times New Roman" w:hAnsi="Times New Roman" w:cs="Times New Roman"/>
          <w:sz w:val="24"/>
          <w:lang w:val="uk-UA"/>
        </w:rPr>
        <w:t xml:space="preserve">. Цей показник відповідає вмісту мікроскопічних грибів в повітрі довкілля та не становить суттєвої загрози для паперових видань, персоналу бібліотеки та відвідувачів. </w:t>
      </w:r>
    </w:p>
    <w:p w:rsidR="00687D70" w:rsidRPr="005144BE" w:rsidRDefault="00BA5850" w:rsidP="00BA58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5144BE">
        <w:rPr>
          <w:rFonts w:ascii="Times New Roman" w:hAnsi="Times New Roman" w:cs="Times New Roman"/>
          <w:sz w:val="24"/>
          <w:lang w:val="uk-UA"/>
        </w:rPr>
        <w:t>Однак в умовах підвищеної вологості повітря (вище 70%), високого вологовмісту поверхонь та матеріалів (5-10%),  температурі у приміщенні 25-30°С та при відсутн</w:t>
      </w:r>
      <w:r w:rsidR="00687D70" w:rsidRPr="005144BE">
        <w:rPr>
          <w:rFonts w:ascii="Times New Roman" w:hAnsi="Times New Roman" w:cs="Times New Roman"/>
          <w:sz w:val="24"/>
          <w:lang w:val="uk-UA"/>
        </w:rPr>
        <w:t>о</w:t>
      </w:r>
      <w:r w:rsidRPr="005144BE">
        <w:rPr>
          <w:rFonts w:ascii="Times New Roman" w:hAnsi="Times New Roman" w:cs="Times New Roman"/>
          <w:sz w:val="24"/>
          <w:lang w:val="uk-UA"/>
        </w:rPr>
        <w:t>ст</w:t>
      </w:r>
      <w:r w:rsidR="00687D70" w:rsidRPr="005144BE">
        <w:rPr>
          <w:rFonts w:ascii="Times New Roman" w:hAnsi="Times New Roman" w:cs="Times New Roman"/>
          <w:sz w:val="24"/>
          <w:lang w:val="uk-UA"/>
        </w:rPr>
        <w:t>і</w:t>
      </w:r>
      <w:r w:rsidRPr="005144BE">
        <w:rPr>
          <w:rFonts w:ascii="Times New Roman" w:hAnsi="Times New Roman" w:cs="Times New Roman"/>
          <w:sz w:val="24"/>
          <w:lang w:val="uk-UA"/>
        </w:rPr>
        <w:t xml:space="preserve"> справної вентиляційної системи (швидкість руху повітря </w:t>
      </w:r>
      <w:r w:rsidR="00687D70" w:rsidRPr="005144BE">
        <w:rPr>
          <w:rFonts w:ascii="Times New Roman" w:hAnsi="Times New Roman" w:cs="Times New Roman"/>
          <w:sz w:val="24"/>
          <w:lang w:val="uk-UA"/>
        </w:rPr>
        <w:t>більше</w:t>
      </w:r>
      <w:r w:rsidRPr="005144BE">
        <w:rPr>
          <w:rFonts w:ascii="Times New Roman" w:hAnsi="Times New Roman" w:cs="Times New Roman"/>
          <w:sz w:val="24"/>
          <w:lang w:val="uk-UA"/>
        </w:rPr>
        <w:t xml:space="preserve"> 1 м/с, кратність повітрообміну 3</w:t>
      </w:r>
      <w:r w:rsidR="00687D70" w:rsidRPr="005144BE">
        <w:rPr>
          <w:rFonts w:ascii="Times New Roman" w:hAnsi="Times New Roman" w:cs="Times New Roman"/>
          <w:sz w:val="24"/>
          <w:lang w:val="uk-UA"/>
        </w:rPr>
        <w:t xml:space="preserve"> і більше</w:t>
      </w:r>
      <w:r w:rsidRPr="005144BE">
        <w:rPr>
          <w:rFonts w:ascii="Times New Roman" w:hAnsi="Times New Roman" w:cs="Times New Roman"/>
          <w:sz w:val="24"/>
          <w:lang w:val="uk-UA"/>
        </w:rPr>
        <w:t xml:space="preserve">) ріст грибів стає інтенсивними. </w:t>
      </w:r>
      <w:r w:rsidR="00687D70" w:rsidRPr="005144BE">
        <w:rPr>
          <w:rFonts w:ascii="Times New Roman" w:hAnsi="Times New Roman" w:cs="Times New Roman"/>
          <w:sz w:val="24"/>
          <w:lang w:val="uk-UA"/>
        </w:rPr>
        <w:t>Н</w:t>
      </w:r>
      <w:r w:rsidRPr="005144BE">
        <w:rPr>
          <w:rFonts w:ascii="Times New Roman" w:hAnsi="Times New Roman" w:cs="Times New Roman"/>
          <w:sz w:val="24"/>
          <w:lang w:val="uk-UA"/>
        </w:rPr>
        <w:t>а поверхнях приміщень, меблях, папері</w:t>
      </w:r>
      <w:r w:rsidR="00687D70" w:rsidRPr="005144BE">
        <w:rPr>
          <w:rFonts w:ascii="Times New Roman" w:hAnsi="Times New Roman" w:cs="Times New Roman"/>
          <w:sz w:val="24"/>
          <w:lang w:val="uk-UA"/>
        </w:rPr>
        <w:t xml:space="preserve"> утворюються колонії у вигляді плям чорного, білого, зеленого та інших кольорів, а </w:t>
      </w:r>
      <w:r w:rsidRPr="005144BE">
        <w:rPr>
          <w:rFonts w:ascii="Times New Roman" w:hAnsi="Times New Roman" w:cs="Times New Roman"/>
          <w:sz w:val="24"/>
          <w:lang w:val="uk-UA"/>
        </w:rPr>
        <w:t xml:space="preserve">спори грибів потрапляють у повітря, де їх вміст може становити 500 – 1000 </w:t>
      </w:r>
      <w:proofErr w:type="spellStart"/>
      <w:r w:rsidRPr="005144BE">
        <w:rPr>
          <w:rFonts w:ascii="Times New Roman" w:hAnsi="Times New Roman" w:cs="Times New Roman"/>
          <w:sz w:val="24"/>
          <w:lang w:val="uk-UA"/>
        </w:rPr>
        <w:t>КУО</w:t>
      </w:r>
      <w:proofErr w:type="spellEnd"/>
      <w:r w:rsidRPr="005144BE">
        <w:rPr>
          <w:rFonts w:ascii="Times New Roman" w:hAnsi="Times New Roman" w:cs="Times New Roman"/>
          <w:sz w:val="24"/>
          <w:lang w:val="uk-UA"/>
        </w:rPr>
        <w:t>/м</w:t>
      </w:r>
      <w:r w:rsidRPr="005144BE">
        <w:rPr>
          <w:rFonts w:ascii="Times New Roman" w:hAnsi="Times New Roman" w:cs="Times New Roman"/>
          <w:sz w:val="24"/>
          <w:vertAlign w:val="superscript"/>
          <w:lang w:val="uk-UA"/>
        </w:rPr>
        <w:t>3</w:t>
      </w:r>
      <w:r w:rsidRPr="005144BE">
        <w:rPr>
          <w:rFonts w:ascii="Times New Roman" w:hAnsi="Times New Roman" w:cs="Times New Roman"/>
          <w:sz w:val="24"/>
          <w:lang w:val="uk-UA"/>
        </w:rPr>
        <w:t xml:space="preserve">. </w:t>
      </w:r>
    </w:p>
    <w:p w:rsidR="00DA5163" w:rsidRPr="005144BE" w:rsidRDefault="00687D70" w:rsidP="00966E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5144BE">
        <w:rPr>
          <w:rFonts w:ascii="Times New Roman" w:hAnsi="Times New Roman" w:cs="Times New Roman"/>
          <w:sz w:val="24"/>
          <w:lang w:val="uk-UA"/>
        </w:rPr>
        <w:t>Згідно даних літератури вміст грибів 500-1000 колонієутворюючих одиниць (</w:t>
      </w:r>
      <w:proofErr w:type="spellStart"/>
      <w:r w:rsidRPr="005144BE">
        <w:rPr>
          <w:rFonts w:ascii="Times New Roman" w:hAnsi="Times New Roman" w:cs="Times New Roman"/>
          <w:sz w:val="24"/>
          <w:lang w:val="uk-UA"/>
        </w:rPr>
        <w:t>КУО</w:t>
      </w:r>
      <w:proofErr w:type="spellEnd"/>
      <w:r w:rsidRPr="005144BE">
        <w:rPr>
          <w:rFonts w:ascii="Times New Roman" w:hAnsi="Times New Roman" w:cs="Times New Roman"/>
          <w:sz w:val="24"/>
          <w:lang w:val="uk-UA"/>
        </w:rPr>
        <w:t>) в 1 м</w:t>
      </w:r>
      <w:r w:rsidRPr="005144BE">
        <w:rPr>
          <w:rFonts w:ascii="Times New Roman" w:hAnsi="Times New Roman" w:cs="Times New Roman"/>
          <w:sz w:val="24"/>
          <w:vertAlign w:val="superscript"/>
          <w:lang w:val="uk-UA"/>
        </w:rPr>
        <w:t>3</w:t>
      </w:r>
      <w:r w:rsidRPr="005144BE">
        <w:rPr>
          <w:rFonts w:ascii="Times New Roman" w:hAnsi="Times New Roman" w:cs="Times New Roman"/>
          <w:sz w:val="24"/>
          <w:lang w:val="uk-UA"/>
        </w:rPr>
        <w:t xml:space="preserve"> повітря є критичним, оскільки може спричинити мікологічне пошкодження паперових носіїв інформації [</w:t>
      </w:r>
      <w:r w:rsidR="005144BE" w:rsidRPr="005144BE">
        <w:rPr>
          <w:rFonts w:ascii="Times New Roman" w:hAnsi="Times New Roman" w:cs="Times New Roman"/>
          <w:sz w:val="24"/>
          <w:lang w:val="uk-UA"/>
        </w:rPr>
        <w:t>4</w:t>
      </w:r>
      <w:r w:rsidRPr="005144BE">
        <w:rPr>
          <w:rFonts w:ascii="Times New Roman" w:hAnsi="Times New Roman" w:cs="Times New Roman"/>
          <w:sz w:val="24"/>
          <w:lang w:val="uk-UA"/>
        </w:rPr>
        <w:t xml:space="preserve">, </w:t>
      </w:r>
      <w:r w:rsidR="005144BE" w:rsidRPr="005144BE">
        <w:rPr>
          <w:rFonts w:ascii="Times New Roman" w:hAnsi="Times New Roman" w:cs="Times New Roman"/>
          <w:sz w:val="24"/>
          <w:lang w:val="uk-UA"/>
        </w:rPr>
        <w:t>5</w:t>
      </w:r>
      <w:r w:rsidRPr="005144BE">
        <w:rPr>
          <w:rFonts w:ascii="Times New Roman" w:hAnsi="Times New Roman" w:cs="Times New Roman"/>
          <w:sz w:val="24"/>
          <w:lang w:val="uk-UA"/>
        </w:rPr>
        <w:t>]. Пошкодження відбуваються за рахунок утворення грибами целюлозолітичних ферментів, органічних кислот та механічного проростання у товщу ураженого матеріалу. Це призводить до втрати придатності друкованих джерел інформації до використання та  становить</w:t>
      </w:r>
      <w:r w:rsidR="00DA5163" w:rsidRPr="005144BE">
        <w:rPr>
          <w:rFonts w:ascii="Times New Roman" w:hAnsi="Times New Roman" w:cs="Times New Roman"/>
          <w:sz w:val="24"/>
          <w:lang w:val="uk-UA"/>
        </w:rPr>
        <w:t xml:space="preserve"> значну небезпеку для користувачів бібліотечних фондів. </w:t>
      </w:r>
      <w:r w:rsidRPr="005144BE">
        <w:rPr>
          <w:rFonts w:ascii="Times New Roman" w:hAnsi="Times New Roman" w:cs="Times New Roman"/>
          <w:sz w:val="24"/>
          <w:lang w:val="uk-UA"/>
        </w:rPr>
        <w:t>Мікроміцети</w:t>
      </w:r>
      <w:r w:rsidR="00DA5163" w:rsidRPr="005144BE">
        <w:rPr>
          <w:rFonts w:ascii="Times New Roman" w:hAnsi="Times New Roman" w:cs="Times New Roman"/>
          <w:sz w:val="24"/>
          <w:lang w:val="uk-UA"/>
        </w:rPr>
        <w:t xml:space="preserve"> здатні спричиняти у людей алергічні реакції,</w:t>
      </w:r>
      <w:r w:rsidRPr="005144BE">
        <w:rPr>
          <w:rFonts w:ascii="Times New Roman" w:hAnsi="Times New Roman" w:cs="Times New Roman"/>
          <w:sz w:val="24"/>
          <w:lang w:val="uk-UA"/>
        </w:rPr>
        <w:t xml:space="preserve"> зниження імунітету, </w:t>
      </w:r>
      <w:r w:rsidR="00DA5163" w:rsidRPr="005144BE">
        <w:rPr>
          <w:rFonts w:ascii="Times New Roman" w:hAnsi="Times New Roman" w:cs="Times New Roman"/>
          <w:sz w:val="24"/>
          <w:lang w:val="uk-UA"/>
        </w:rPr>
        <w:t xml:space="preserve"> захворювання дихальних шляхів, ураження шкіри, а також мікотоксикози – гострі та хронічні отруєння мікотоксинами [</w:t>
      </w:r>
      <w:r w:rsidR="005144BE" w:rsidRPr="005144BE">
        <w:rPr>
          <w:rFonts w:ascii="Times New Roman" w:hAnsi="Times New Roman" w:cs="Times New Roman"/>
          <w:sz w:val="24"/>
          <w:lang w:val="uk-UA"/>
        </w:rPr>
        <w:t>2</w:t>
      </w:r>
      <w:r w:rsidR="00080DA8" w:rsidRPr="005144BE">
        <w:rPr>
          <w:rFonts w:ascii="Times New Roman" w:hAnsi="Times New Roman" w:cs="Times New Roman"/>
          <w:sz w:val="24"/>
          <w:lang w:val="uk-UA"/>
        </w:rPr>
        <w:t xml:space="preserve">, </w:t>
      </w:r>
      <w:r w:rsidR="005144BE" w:rsidRPr="005144BE">
        <w:rPr>
          <w:rFonts w:ascii="Times New Roman" w:hAnsi="Times New Roman" w:cs="Times New Roman"/>
          <w:sz w:val="24"/>
          <w:lang w:val="uk-UA"/>
        </w:rPr>
        <w:t>3</w:t>
      </w:r>
      <w:r w:rsidR="00DA5163" w:rsidRPr="005144BE">
        <w:rPr>
          <w:rFonts w:ascii="Times New Roman" w:hAnsi="Times New Roman" w:cs="Times New Roman"/>
          <w:sz w:val="24"/>
          <w:lang w:val="uk-UA"/>
        </w:rPr>
        <w:t>].</w:t>
      </w:r>
    </w:p>
    <w:p w:rsidR="00687D70" w:rsidRPr="005144BE" w:rsidRDefault="00687D70" w:rsidP="00966E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5144BE">
        <w:rPr>
          <w:rFonts w:ascii="Times New Roman" w:hAnsi="Times New Roman" w:cs="Times New Roman"/>
          <w:sz w:val="24"/>
          <w:lang w:val="uk-UA"/>
        </w:rPr>
        <w:t xml:space="preserve">Тому, поряд із застосуванням превентивних заходів </w:t>
      </w:r>
      <w:r w:rsidR="00B84554" w:rsidRPr="005144BE">
        <w:rPr>
          <w:rFonts w:ascii="Times New Roman" w:hAnsi="Times New Roman" w:cs="Times New Roman"/>
          <w:sz w:val="24"/>
          <w:lang w:val="uk-UA"/>
        </w:rPr>
        <w:t>попередження мікологічного пошкодження паперових носіїв інформації, актуальним залишається підбір ефективних антифунгальних</w:t>
      </w:r>
      <w:r w:rsidRPr="005144BE">
        <w:rPr>
          <w:rFonts w:ascii="Times New Roman" w:hAnsi="Times New Roman" w:cs="Times New Roman"/>
          <w:sz w:val="24"/>
          <w:lang w:val="uk-UA"/>
        </w:rPr>
        <w:t xml:space="preserve"> </w:t>
      </w:r>
      <w:r w:rsidR="00B84554" w:rsidRPr="005144BE">
        <w:rPr>
          <w:rFonts w:ascii="Times New Roman" w:hAnsi="Times New Roman" w:cs="Times New Roman"/>
          <w:sz w:val="24"/>
          <w:lang w:val="uk-UA"/>
        </w:rPr>
        <w:t>засобів, безпечних для людини та таких, що не мають негативного впливу на паперові матеріали.</w:t>
      </w:r>
    </w:p>
    <w:p w:rsidR="00E9424C" w:rsidRPr="005144BE" w:rsidRDefault="00840B69" w:rsidP="00966E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5144BE">
        <w:rPr>
          <w:rFonts w:ascii="Times New Roman" w:hAnsi="Times New Roman" w:cs="Times New Roman"/>
          <w:sz w:val="24"/>
          <w:lang w:val="uk-UA"/>
        </w:rPr>
        <w:t>За період 2015-201</w:t>
      </w:r>
      <w:r w:rsidR="00F635DC" w:rsidRPr="005144BE">
        <w:rPr>
          <w:rFonts w:ascii="Times New Roman" w:hAnsi="Times New Roman" w:cs="Times New Roman"/>
          <w:sz w:val="24"/>
          <w:lang w:val="uk-UA"/>
        </w:rPr>
        <w:t>8</w:t>
      </w:r>
      <w:r w:rsidRPr="005144BE">
        <w:rPr>
          <w:rFonts w:ascii="Times New Roman" w:hAnsi="Times New Roman" w:cs="Times New Roman"/>
          <w:sz w:val="24"/>
          <w:lang w:val="uk-UA"/>
        </w:rPr>
        <w:t xml:space="preserve"> рр.</w:t>
      </w:r>
      <w:r w:rsidR="00CA387F" w:rsidRPr="005144BE">
        <w:rPr>
          <w:rFonts w:ascii="Times New Roman" w:hAnsi="Times New Roman" w:cs="Times New Roman"/>
          <w:sz w:val="24"/>
          <w:lang w:val="uk-UA"/>
        </w:rPr>
        <w:t xml:space="preserve"> співробітниками НБУВ</w:t>
      </w:r>
      <w:r w:rsidRPr="005144BE">
        <w:rPr>
          <w:rFonts w:ascii="Times New Roman" w:hAnsi="Times New Roman" w:cs="Times New Roman"/>
          <w:sz w:val="24"/>
          <w:lang w:val="uk-UA"/>
        </w:rPr>
        <w:t xml:space="preserve"> було відібрано </w:t>
      </w:r>
      <w:r w:rsidR="00E9424C" w:rsidRPr="005144BE">
        <w:rPr>
          <w:rFonts w:ascii="Times New Roman" w:hAnsi="Times New Roman" w:cs="Times New Roman"/>
          <w:sz w:val="24"/>
          <w:lang w:val="uk-UA"/>
        </w:rPr>
        <w:t>85</w:t>
      </w:r>
      <w:r w:rsidRPr="005144BE">
        <w:rPr>
          <w:rFonts w:ascii="Times New Roman" w:hAnsi="Times New Roman" w:cs="Times New Roman"/>
          <w:sz w:val="24"/>
          <w:lang w:val="uk-UA"/>
        </w:rPr>
        <w:t xml:space="preserve"> проб повітря з приміщень фон</w:t>
      </w:r>
      <w:r w:rsidR="0068450A" w:rsidRPr="005144BE">
        <w:rPr>
          <w:rFonts w:ascii="Times New Roman" w:hAnsi="Times New Roman" w:cs="Times New Roman"/>
          <w:sz w:val="24"/>
          <w:lang w:val="uk-UA"/>
        </w:rPr>
        <w:t xml:space="preserve">дів бібліотек </w:t>
      </w:r>
      <w:r w:rsidRPr="005144BE">
        <w:rPr>
          <w:rFonts w:ascii="Times New Roman" w:hAnsi="Times New Roman" w:cs="Times New Roman"/>
          <w:sz w:val="24"/>
          <w:lang w:val="uk-UA"/>
        </w:rPr>
        <w:t>1</w:t>
      </w:r>
      <w:r w:rsidR="00E9424C" w:rsidRPr="005144BE">
        <w:rPr>
          <w:rFonts w:ascii="Times New Roman" w:hAnsi="Times New Roman" w:cs="Times New Roman"/>
          <w:sz w:val="24"/>
          <w:lang w:val="uk-UA"/>
        </w:rPr>
        <w:t>7</w:t>
      </w:r>
      <w:r w:rsidRPr="005144BE">
        <w:rPr>
          <w:rFonts w:ascii="Times New Roman" w:hAnsi="Times New Roman" w:cs="Times New Roman"/>
          <w:sz w:val="24"/>
          <w:lang w:val="uk-UA"/>
        </w:rPr>
        <w:t xml:space="preserve"> різних </w:t>
      </w:r>
      <w:r w:rsidR="0068450A" w:rsidRPr="005144BE">
        <w:rPr>
          <w:rFonts w:ascii="Times New Roman" w:hAnsi="Times New Roman" w:cs="Times New Roman"/>
          <w:sz w:val="24"/>
          <w:lang w:val="uk-UA"/>
        </w:rPr>
        <w:t>наукових установ</w:t>
      </w:r>
      <w:r w:rsidR="00080DA8" w:rsidRPr="005144BE">
        <w:rPr>
          <w:rFonts w:ascii="Times New Roman" w:hAnsi="Times New Roman" w:cs="Times New Roman"/>
          <w:sz w:val="24"/>
          <w:lang w:val="uk-UA"/>
        </w:rPr>
        <w:t xml:space="preserve"> м. Києва</w:t>
      </w:r>
      <w:r w:rsidR="00CA387F" w:rsidRPr="005144BE">
        <w:rPr>
          <w:rFonts w:ascii="Times New Roman" w:hAnsi="Times New Roman" w:cs="Times New Roman"/>
          <w:sz w:val="24"/>
          <w:lang w:val="uk-UA"/>
        </w:rPr>
        <w:t xml:space="preserve"> та передано для аналізу у ІМВ НАНУ</w:t>
      </w:r>
      <w:r w:rsidR="0068450A" w:rsidRPr="005144BE">
        <w:rPr>
          <w:rFonts w:ascii="Times New Roman" w:hAnsi="Times New Roman" w:cs="Times New Roman"/>
          <w:sz w:val="24"/>
          <w:lang w:val="uk-UA"/>
        </w:rPr>
        <w:t xml:space="preserve">. Співробітниками Випробувальної лабораторії грибостійкості та мікробіологічних досліджень </w:t>
      </w:r>
      <w:r w:rsidR="00CA387F" w:rsidRPr="005144BE">
        <w:rPr>
          <w:rFonts w:ascii="Times New Roman" w:hAnsi="Times New Roman" w:cs="Times New Roman"/>
          <w:sz w:val="24"/>
          <w:lang w:val="uk-UA"/>
        </w:rPr>
        <w:t xml:space="preserve">технічних, медичних виробів і матеріалів ІМВ НАНУ виділено </w:t>
      </w:r>
      <w:r w:rsidR="00E9424C" w:rsidRPr="005144BE">
        <w:rPr>
          <w:rFonts w:ascii="Times New Roman" w:hAnsi="Times New Roman" w:cs="Times New Roman"/>
          <w:sz w:val="24"/>
          <w:lang w:val="uk-UA"/>
        </w:rPr>
        <w:t>66</w:t>
      </w:r>
      <w:r w:rsidR="00CA387F" w:rsidRPr="005144BE">
        <w:rPr>
          <w:rFonts w:ascii="Times New Roman" w:hAnsi="Times New Roman" w:cs="Times New Roman"/>
          <w:sz w:val="24"/>
          <w:lang w:val="uk-UA"/>
        </w:rPr>
        <w:t xml:space="preserve"> видів мікроскопічних грибів, які належали до </w:t>
      </w:r>
      <w:r w:rsidR="00E9424C" w:rsidRPr="005144BE">
        <w:rPr>
          <w:rFonts w:ascii="Times New Roman" w:hAnsi="Times New Roman" w:cs="Times New Roman"/>
          <w:sz w:val="24"/>
          <w:lang w:val="uk-UA"/>
        </w:rPr>
        <w:t>21</w:t>
      </w:r>
      <w:r w:rsidR="00CA387F" w:rsidRPr="005144BE">
        <w:rPr>
          <w:rFonts w:ascii="Times New Roman" w:hAnsi="Times New Roman" w:cs="Times New Roman"/>
          <w:sz w:val="24"/>
          <w:lang w:val="uk-UA"/>
        </w:rPr>
        <w:t xml:space="preserve"> родів відділів Zygomycota</w:t>
      </w:r>
      <w:r w:rsidR="00E9424C" w:rsidRPr="005144BE">
        <w:rPr>
          <w:rFonts w:ascii="Times New Roman" w:hAnsi="Times New Roman" w:cs="Times New Roman"/>
          <w:sz w:val="24"/>
          <w:lang w:val="uk-UA"/>
        </w:rPr>
        <w:t xml:space="preserve"> та</w:t>
      </w:r>
      <w:r w:rsidR="00CA387F" w:rsidRPr="005144BE">
        <w:rPr>
          <w:rFonts w:ascii="Times New Roman" w:hAnsi="Times New Roman" w:cs="Times New Roman"/>
          <w:sz w:val="24"/>
          <w:lang w:val="uk-UA"/>
        </w:rPr>
        <w:t xml:space="preserve"> Ascomycot</w:t>
      </w:r>
      <w:r w:rsidR="00CA387F" w:rsidRPr="005144BE">
        <w:rPr>
          <w:rFonts w:ascii="Times New Roman" w:hAnsi="Times New Roman" w:cs="Times New Roman"/>
          <w:sz w:val="24"/>
          <w:lang w:val="en-US"/>
        </w:rPr>
        <w:t>a</w:t>
      </w:r>
      <w:r w:rsidR="00E9424C" w:rsidRPr="005144BE">
        <w:rPr>
          <w:rFonts w:ascii="Times New Roman" w:hAnsi="Times New Roman" w:cs="Times New Roman"/>
          <w:sz w:val="24"/>
          <w:lang w:val="uk-UA"/>
        </w:rPr>
        <w:t>.</w:t>
      </w:r>
    </w:p>
    <w:p w:rsidR="00F635DC" w:rsidRPr="005144BE" w:rsidRDefault="00CA387F" w:rsidP="00966E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5144BE">
        <w:rPr>
          <w:rFonts w:ascii="Times New Roman" w:hAnsi="Times New Roman" w:cs="Times New Roman"/>
          <w:sz w:val="24"/>
          <w:lang w:val="uk-UA"/>
        </w:rPr>
        <w:t xml:space="preserve">Серед виділених мікроскопічних грибів </w:t>
      </w:r>
      <w:r w:rsidR="00BA676C" w:rsidRPr="005144BE">
        <w:rPr>
          <w:rFonts w:ascii="Times New Roman" w:hAnsi="Times New Roman" w:cs="Times New Roman"/>
          <w:sz w:val="24"/>
          <w:lang w:val="uk-UA"/>
        </w:rPr>
        <w:t xml:space="preserve">найчастіше траплялися види </w:t>
      </w:r>
      <w:r w:rsidR="00BA676C" w:rsidRPr="005144BE">
        <w:rPr>
          <w:rFonts w:ascii="Times New Roman" w:hAnsi="Times New Roman" w:cs="Times New Roman"/>
          <w:i/>
          <w:sz w:val="24"/>
          <w:lang w:val="en-US"/>
        </w:rPr>
        <w:t>Alternaria</w:t>
      </w:r>
      <w:r w:rsidR="00BA676C" w:rsidRPr="005144BE">
        <w:rPr>
          <w:rFonts w:ascii="Times New Roman" w:hAnsi="Times New Roman" w:cs="Times New Roman"/>
          <w:i/>
          <w:sz w:val="24"/>
          <w:lang w:val="uk-UA"/>
        </w:rPr>
        <w:t xml:space="preserve"> </w:t>
      </w:r>
      <w:r w:rsidR="00BA676C" w:rsidRPr="005144BE">
        <w:rPr>
          <w:rFonts w:ascii="Times New Roman" w:hAnsi="Times New Roman" w:cs="Times New Roman"/>
          <w:i/>
          <w:sz w:val="24"/>
          <w:lang w:val="en-US"/>
        </w:rPr>
        <w:t>alternata</w:t>
      </w:r>
      <w:r w:rsidR="00146610" w:rsidRPr="005144BE">
        <w:rPr>
          <w:rFonts w:ascii="Times New Roman" w:hAnsi="Times New Roman" w:cs="Times New Roman"/>
          <w:i/>
          <w:sz w:val="24"/>
          <w:lang w:val="uk-UA"/>
        </w:rPr>
        <w:t xml:space="preserve"> </w:t>
      </w:r>
      <w:r w:rsidR="00146610" w:rsidRPr="005144BE">
        <w:rPr>
          <w:rFonts w:ascii="Times New Roman" w:hAnsi="Times New Roman" w:cs="Times New Roman"/>
          <w:sz w:val="24"/>
          <w:lang w:val="uk-UA"/>
        </w:rPr>
        <w:t>(</w:t>
      </w:r>
      <w:proofErr w:type="spellStart"/>
      <w:r w:rsidR="00146610" w:rsidRPr="005144BE">
        <w:rPr>
          <w:rFonts w:ascii="Times New Roman" w:hAnsi="Times New Roman" w:cs="Times New Roman"/>
          <w:sz w:val="24"/>
          <w:lang w:val="uk-UA"/>
        </w:rPr>
        <w:t>Fr</w:t>
      </w:r>
      <w:proofErr w:type="spellEnd"/>
      <w:r w:rsidR="00146610" w:rsidRPr="005144BE">
        <w:rPr>
          <w:rFonts w:ascii="Times New Roman" w:hAnsi="Times New Roman" w:cs="Times New Roman"/>
          <w:sz w:val="24"/>
          <w:lang w:val="uk-UA"/>
        </w:rPr>
        <w:t>.) Keissl.</w:t>
      </w:r>
      <w:r w:rsidR="00BA676C" w:rsidRPr="005144BE">
        <w:rPr>
          <w:rFonts w:ascii="Times New Roman" w:hAnsi="Times New Roman" w:cs="Times New Roman"/>
          <w:i/>
          <w:sz w:val="24"/>
          <w:lang w:val="uk-UA"/>
        </w:rPr>
        <w:t xml:space="preserve"> </w:t>
      </w:r>
      <w:r w:rsidR="00BA676C" w:rsidRPr="005144BE">
        <w:rPr>
          <w:rFonts w:ascii="Times New Roman" w:hAnsi="Times New Roman" w:cs="Times New Roman"/>
          <w:sz w:val="24"/>
          <w:lang w:val="uk-UA"/>
        </w:rPr>
        <w:t>(2</w:t>
      </w:r>
      <w:r w:rsidR="00E9424C" w:rsidRPr="005144BE">
        <w:rPr>
          <w:rFonts w:ascii="Times New Roman" w:hAnsi="Times New Roman" w:cs="Times New Roman"/>
          <w:sz w:val="24"/>
          <w:lang w:val="uk-UA"/>
        </w:rPr>
        <w:t>3</w:t>
      </w:r>
      <w:r w:rsidR="00BA676C" w:rsidRPr="005144BE">
        <w:rPr>
          <w:rFonts w:ascii="Times New Roman" w:hAnsi="Times New Roman" w:cs="Times New Roman"/>
          <w:sz w:val="24"/>
          <w:lang w:val="uk-UA"/>
        </w:rPr>
        <w:t>,</w:t>
      </w:r>
      <w:r w:rsidR="00E9424C" w:rsidRPr="005144BE">
        <w:rPr>
          <w:rFonts w:ascii="Times New Roman" w:hAnsi="Times New Roman" w:cs="Times New Roman"/>
          <w:sz w:val="24"/>
          <w:lang w:val="uk-UA"/>
        </w:rPr>
        <w:t>53</w:t>
      </w:r>
      <w:r w:rsidR="00BA676C" w:rsidRPr="005144BE">
        <w:rPr>
          <w:rFonts w:ascii="Times New Roman" w:hAnsi="Times New Roman" w:cs="Times New Roman"/>
          <w:sz w:val="24"/>
          <w:lang w:val="uk-UA"/>
        </w:rPr>
        <w:t xml:space="preserve">%), </w:t>
      </w:r>
      <w:r w:rsidR="00E9424C" w:rsidRPr="005144BE">
        <w:rPr>
          <w:rFonts w:ascii="Times New Roman" w:hAnsi="Times New Roman" w:cs="Times New Roman"/>
          <w:i/>
          <w:sz w:val="24"/>
          <w:lang w:val="en-US"/>
        </w:rPr>
        <w:t>Alternaria</w:t>
      </w:r>
      <w:r w:rsidR="00E9424C" w:rsidRPr="005144BE">
        <w:rPr>
          <w:rFonts w:ascii="Times New Roman" w:hAnsi="Times New Roman" w:cs="Times New Roman"/>
          <w:i/>
          <w:sz w:val="24"/>
          <w:lang w:val="uk-UA"/>
        </w:rPr>
        <w:t xml:space="preserve"> tenuissima </w:t>
      </w:r>
      <w:r w:rsidR="00E9424C" w:rsidRPr="005144BE">
        <w:rPr>
          <w:rFonts w:ascii="Times New Roman" w:hAnsi="Times New Roman" w:cs="Times New Roman"/>
          <w:sz w:val="24"/>
          <w:lang w:val="uk-UA"/>
        </w:rPr>
        <w:t>(Kunze) Wiltshire</w:t>
      </w:r>
      <w:r w:rsidR="00E9424C" w:rsidRPr="005144BE">
        <w:rPr>
          <w:rFonts w:ascii="Times New Roman" w:hAnsi="Times New Roman" w:cs="Times New Roman"/>
          <w:i/>
          <w:sz w:val="24"/>
          <w:lang w:val="uk-UA"/>
        </w:rPr>
        <w:t xml:space="preserve"> </w:t>
      </w:r>
      <w:r w:rsidR="00E9424C" w:rsidRPr="005144BE">
        <w:rPr>
          <w:rFonts w:ascii="Times New Roman" w:hAnsi="Times New Roman" w:cs="Times New Roman"/>
          <w:sz w:val="24"/>
          <w:lang w:val="en-US"/>
        </w:rPr>
        <w:t xml:space="preserve">(10,49%), </w:t>
      </w:r>
      <w:r w:rsidR="00E9424C" w:rsidRPr="005144BE">
        <w:rPr>
          <w:rFonts w:ascii="Times New Roman" w:hAnsi="Times New Roman" w:cs="Times New Roman"/>
          <w:i/>
          <w:sz w:val="24"/>
          <w:lang w:val="en-US"/>
        </w:rPr>
        <w:t>Cladosporium</w:t>
      </w:r>
      <w:r w:rsidR="00E9424C" w:rsidRPr="005144BE">
        <w:rPr>
          <w:rFonts w:ascii="Times New Roman" w:hAnsi="Times New Roman" w:cs="Times New Roman"/>
          <w:i/>
          <w:sz w:val="24"/>
          <w:lang w:val="uk-UA"/>
        </w:rPr>
        <w:t xml:space="preserve"> </w:t>
      </w:r>
      <w:r w:rsidR="00E9424C" w:rsidRPr="005144BE">
        <w:rPr>
          <w:rFonts w:ascii="Times New Roman" w:hAnsi="Times New Roman" w:cs="Times New Roman"/>
          <w:i/>
          <w:sz w:val="24"/>
          <w:lang w:val="en-US"/>
        </w:rPr>
        <w:t>cladosporioides</w:t>
      </w:r>
      <w:r w:rsidR="00E9424C" w:rsidRPr="005144BE">
        <w:rPr>
          <w:rFonts w:ascii="Times New Roman" w:hAnsi="Times New Roman" w:cs="Times New Roman"/>
          <w:i/>
          <w:sz w:val="24"/>
          <w:lang w:val="uk-UA"/>
        </w:rPr>
        <w:t xml:space="preserve"> </w:t>
      </w:r>
      <w:r w:rsidR="00E9424C" w:rsidRPr="005144BE">
        <w:rPr>
          <w:rFonts w:ascii="Times New Roman" w:hAnsi="Times New Roman" w:cs="Times New Roman"/>
          <w:sz w:val="24"/>
          <w:lang w:val="uk-UA"/>
        </w:rPr>
        <w:t xml:space="preserve">(Fresen.) G.A. </w:t>
      </w:r>
      <w:proofErr w:type="spellStart"/>
      <w:r w:rsidR="00E9424C" w:rsidRPr="005144BE">
        <w:rPr>
          <w:rFonts w:ascii="Times New Roman" w:hAnsi="Times New Roman" w:cs="Times New Roman"/>
          <w:sz w:val="24"/>
          <w:lang w:val="uk-UA"/>
        </w:rPr>
        <w:t>de</w:t>
      </w:r>
      <w:proofErr w:type="spellEnd"/>
      <w:r w:rsidR="00E9424C" w:rsidRPr="005144BE">
        <w:rPr>
          <w:rFonts w:ascii="Times New Roman" w:hAnsi="Times New Roman" w:cs="Times New Roman"/>
          <w:sz w:val="24"/>
          <w:lang w:val="uk-UA"/>
        </w:rPr>
        <w:t xml:space="preserve"> Vries (21,24%), </w:t>
      </w:r>
      <w:r w:rsidR="00E9424C" w:rsidRPr="005144BE">
        <w:rPr>
          <w:rFonts w:ascii="Times New Roman" w:hAnsi="Times New Roman" w:cs="Times New Roman"/>
          <w:i/>
          <w:sz w:val="24"/>
          <w:lang w:val="en-US"/>
        </w:rPr>
        <w:t>C</w:t>
      </w:r>
      <w:r w:rsidR="00E9424C" w:rsidRPr="005144BE">
        <w:rPr>
          <w:rFonts w:ascii="Times New Roman" w:hAnsi="Times New Roman" w:cs="Times New Roman"/>
          <w:i/>
          <w:sz w:val="24"/>
          <w:lang w:val="uk-UA"/>
        </w:rPr>
        <w:t xml:space="preserve">. </w:t>
      </w:r>
      <w:r w:rsidR="00E9424C" w:rsidRPr="005144BE">
        <w:rPr>
          <w:rFonts w:ascii="Times New Roman" w:hAnsi="Times New Roman" w:cs="Times New Roman"/>
          <w:i/>
          <w:sz w:val="24"/>
          <w:lang w:val="en-US"/>
        </w:rPr>
        <w:t>herbarum</w:t>
      </w:r>
      <w:r w:rsidR="00E9424C" w:rsidRPr="005144BE">
        <w:rPr>
          <w:rFonts w:ascii="Times New Roman" w:hAnsi="Times New Roman" w:cs="Times New Roman"/>
          <w:i/>
          <w:sz w:val="24"/>
          <w:lang w:val="uk-UA"/>
        </w:rPr>
        <w:t xml:space="preserve"> </w:t>
      </w:r>
      <w:r w:rsidR="00E9424C" w:rsidRPr="005144BE">
        <w:rPr>
          <w:rFonts w:ascii="Times New Roman" w:hAnsi="Times New Roman" w:cs="Times New Roman"/>
          <w:sz w:val="24"/>
          <w:lang w:val="uk-UA"/>
        </w:rPr>
        <w:t>(Pers.) Link</w:t>
      </w:r>
      <w:r w:rsidR="00E9424C" w:rsidRPr="005144BE">
        <w:rPr>
          <w:rFonts w:ascii="Times New Roman" w:hAnsi="Times New Roman" w:cs="Times New Roman"/>
          <w:i/>
          <w:sz w:val="24"/>
          <w:lang w:val="uk-UA"/>
        </w:rPr>
        <w:t xml:space="preserve"> </w:t>
      </w:r>
      <w:r w:rsidR="00E9424C" w:rsidRPr="005144BE">
        <w:rPr>
          <w:rFonts w:ascii="Times New Roman" w:hAnsi="Times New Roman" w:cs="Times New Roman"/>
          <w:sz w:val="24"/>
          <w:lang w:val="uk-UA"/>
        </w:rPr>
        <w:t>(21</w:t>
      </w:r>
      <w:proofErr w:type="gramStart"/>
      <w:r w:rsidR="00E9424C" w:rsidRPr="005144BE">
        <w:rPr>
          <w:rFonts w:ascii="Times New Roman" w:hAnsi="Times New Roman" w:cs="Times New Roman"/>
          <w:sz w:val="24"/>
          <w:lang w:val="uk-UA"/>
        </w:rPr>
        <w:t>,24</w:t>
      </w:r>
      <w:proofErr w:type="gramEnd"/>
      <w:r w:rsidR="00E9424C" w:rsidRPr="005144BE">
        <w:rPr>
          <w:rFonts w:ascii="Times New Roman" w:hAnsi="Times New Roman" w:cs="Times New Roman"/>
          <w:sz w:val="24"/>
          <w:lang w:val="uk-UA"/>
        </w:rPr>
        <w:t>%)</w:t>
      </w:r>
      <w:r w:rsidR="00E9424C" w:rsidRPr="005144BE">
        <w:rPr>
          <w:rFonts w:ascii="Times New Roman" w:hAnsi="Times New Roman" w:cs="Times New Roman"/>
          <w:i/>
          <w:sz w:val="24"/>
          <w:lang w:val="uk-UA"/>
        </w:rPr>
        <w:t xml:space="preserve"> </w:t>
      </w:r>
      <w:r w:rsidR="00E9424C" w:rsidRPr="005144BE">
        <w:rPr>
          <w:rFonts w:ascii="Times New Roman" w:hAnsi="Times New Roman" w:cs="Times New Roman"/>
          <w:i/>
          <w:sz w:val="24"/>
          <w:lang w:val="en-US"/>
        </w:rPr>
        <w:t>C</w:t>
      </w:r>
      <w:r w:rsidR="00E9424C" w:rsidRPr="005144BE">
        <w:rPr>
          <w:rFonts w:ascii="Times New Roman" w:hAnsi="Times New Roman" w:cs="Times New Roman"/>
          <w:i/>
          <w:sz w:val="24"/>
          <w:lang w:val="uk-UA"/>
        </w:rPr>
        <w:t>. </w:t>
      </w:r>
      <w:r w:rsidR="00E9424C" w:rsidRPr="005144BE">
        <w:rPr>
          <w:rFonts w:ascii="Times New Roman" w:hAnsi="Times New Roman" w:cs="Times New Roman"/>
          <w:i/>
          <w:sz w:val="24"/>
          <w:lang w:val="en-US"/>
        </w:rPr>
        <w:t>sphaerospermum</w:t>
      </w:r>
      <w:r w:rsidR="00E9424C" w:rsidRPr="005144BE">
        <w:rPr>
          <w:rFonts w:ascii="Times New Roman" w:hAnsi="Times New Roman" w:cs="Times New Roman"/>
          <w:i/>
          <w:sz w:val="24"/>
          <w:lang w:val="uk-UA"/>
        </w:rPr>
        <w:t xml:space="preserve"> </w:t>
      </w:r>
      <w:r w:rsidR="00E9424C" w:rsidRPr="005144BE">
        <w:rPr>
          <w:rFonts w:ascii="Times New Roman" w:hAnsi="Times New Roman" w:cs="Times New Roman"/>
          <w:sz w:val="24"/>
          <w:lang w:val="uk-UA"/>
        </w:rPr>
        <w:t xml:space="preserve">Penz. (16,52%), </w:t>
      </w:r>
      <w:r w:rsidR="00BA676C" w:rsidRPr="005144BE">
        <w:rPr>
          <w:rFonts w:ascii="Times New Roman" w:hAnsi="Times New Roman" w:cs="Times New Roman"/>
          <w:sz w:val="24"/>
          <w:lang w:val="uk-UA"/>
        </w:rPr>
        <w:t xml:space="preserve">та види роду </w:t>
      </w:r>
      <w:r w:rsidR="00BA676C" w:rsidRPr="005144BE">
        <w:rPr>
          <w:rFonts w:ascii="Times New Roman" w:hAnsi="Times New Roman" w:cs="Times New Roman"/>
          <w:i/>
          <w:sz w:val="24"/>
          <w:lang w:val="en-US"/>
        </w:rPr>
        <w:lastRenderedPageBreak/>
        <w:t>Penicillium</w:t>
      </w:r>
      <w:r w:rsidR="00BA676C" w:rsidRPr="005144BE">
        <w:rPr>
          <w:rFonts w:ascii="Times New Roman" w:hAnsi="Times New Roman" w:cs="Times New Roman"/>
          <w:i/>
          <w:sz w:val="24"/>
          <w:lang w:val="uk-UA"/>
        </w:rPr>
        <w:t xml:space="preserve"> </w:t>
      </w:r>
      <w:r w:rsidR="00146610" w:rsidRPr="005144BE">
        <w:rPr>
          <w:rFonts w:ascii="Times New Roman" w:hAnsi="Times New Roman" w:cs="Times New Roman"/>
          <w:sz w:val="24"/>
          <w:lang w:val="uk-UA"/>
        </w:rPr>
        <w:t xml:space="preserve">Link </w:t>
      </w:r>
      <w:r w:rsidR="00BA676C" w:rsidRPr="005144BE">
        <w:rPr>
          <w:rFonts w:ascii="Times New Roman" w:hAnsi="Times New Roman" w:cs="Times New Roman"/>
          <w:sz w:val="24"/>
          <w:lang w:val="uk-UA"/>
        </w:rPr>
        <w:t>(1</w:t>
      </w:r>
      <w:r w:rsidR="00E9424C" w:rsidRPr="005144BE">
        <w:rPr>
          <w:rFonts w:ascii="Times New Roman" w:hAnsi="Times New Roman" w:cs="Times New Roman"/>
          <w:sz w:val="24"/>
          <w:lang w:val="uk-UA"/>
        </w:rPr>
        <w:t>4</w:t>
      </w:r>
      <w:r w:rsidR="00BA676C" w:rsidRPr="005144BE">
        <w:rPr>
          <w:rFonts w:ascii="Times New Roman" w:hAnsi="Times New Roman" w:cs="Times New Roman"/>
          <w:sz w:val="24"/>
          <w:lang w:val="uk-UA"/>
        </w:rPr>
        <w:t>,</w:t>
      </w:r>
      <w:r w:rsidR="00E9424C" w:rsidRPr="005144BE">
        <w:rPr>
          <w:rFonts w:ascii="Times New Roman" w:hAnsi="Times New Roman" w:cs="Times New Roman"/>
          <w:sz w:val="24"/>
          <w:lang w:val="uk-UA"/>
        </w:rPr>
        <w:t>12</w:t>
      </w:r>
      <w:r w:rsidR="00BA676C" w:rsidRPr="005144BE">
        <w:rPr>
          <w:rFonts w:ascii="Times New Roman" w:hAnsi="Times New Roman" w:cs="Times New Roman"/>
          <w:sz w:val="24"/>
          <w:lang w:val="uk-UA"/>
        </w:rPr>
        <w:t xml:space="preserve">%). </w:t>
      </w:r>
      <w:r w:rsidR="00E9424C" w:rsidRPr="005144BE">
        <w:rPr>
          <w:rFonts w:ascii="Times New Roman" w:hAnsi="Times New Roman" w:cs="Times New Roman"/>
          <w:sz w:val="24"/>
          <w:lang w:val="uk-UA"/>
        </w:rPr>
        <w:t>Інші види трапл</w:t>
      </w:r>
      <w:r w:rsidR="00F635DC" w:rsidRPr="005144BE">
        <w:rPr>
          <w:rFonts w:ascii="Times New Roman" w:hAnsi="Times New Roman" w:cs="Times New Roman"/>
          <w:sz w:val="24"/>
          <w:lang w:val="uk-UA"/>
        </w:rPr>
        <w:t>ялися значно рідше (1,18 – 9,41%) і були віднесені до рідкісних та випадкових.</w:t>
      </w:r>
    </w:p>
    <w:p w:rsidR="00E9424C" w:rsidRPr="005144BE" w:rsidRDefault="00F635DC" w:rsidP="00966E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5144BE">
        <w:rPr>
          <w:rFonts w:ascii="Times New Roman" w:hAnsi="Times New Roman" w:cs="Times New Roman"/>
          <w:sz w:val="24"/>
          <w:lang w:val="uk-UA"/>
        </w:rPr>
        <w:t xml:space="preserve">В цілому видовий склад грибів, виділених з повітря приміщень фондів бібліотек в 2018 роках був майже ідентичний такому для 2017, 2016 та 2015 років (подібність 75-90%). Такі дані дають нам підстави для виокремлення сталої сукупності видів, що завжди буде присутньою в приміщеннях бібліотечних приміщень, а саме – </w:t>
      </w:r>
      <w:r w:rsidRPr="005144BE">
        <w:rPr>
          <w:rFonts w:ascii="Times New Roman" w:hAnsi="Times New Roman" w:cs="Times New Roman"/>
          <w:i/>
          <w:sz w:val="24"/>
          <w:lang w:val="en-US"/>
        </w:rPr>
        <w:t>A</w:t>
      </w:r>
      <w:r w:rsidRPr="005144BE">
        <w:rPr>
          <w:rFonts w:ascii="Times New Roman" w:hAnsi="Times New Roman" w:cs="Times New Roman"/>
          <w:i/>
          <w:sz w:val="24"/>
          <w:lang w:val="uk-UA"/>
        </w:rPr>
        <w:t xml:space="preserve">. </w:t>
      </w:r>
      <w:r w:rsidRPr="005144BE">
        <w:rPr>
          <w:rFonts w:ascii="Times New Roman" w:hAnsi="Times New Roman" w:cs="Times New Roman"/>
          <w:i/>
          <w:sz w:val="24"/>
          <w:lang w:val="en-US"/>
        </w:rPr>
        <w:t>alternata</w:t>
      </w:r>
      <w:r w:rsidRPr="005144BE">
        <w:rPr>
          <w:rFonts w:ascii="Times New Roman" w:hAnsi="Times New Roman" w:cs="Times New Roman"/>
          <w:i/>
          <w:sz w:val="24"/>
          <w:lang w:val="uk-UA"/>
        </w:rPr>
        <w:t xml:space="preserve">, </w:t>
      </w:r>
      <w:r w:rsidRPr="005144BE">
        <w:rPr>
          <w:rFonts w:ascii="Times New Roman" w:hAnsi="Times New Roman" w:cs="Times New Roman"/>
          <w:i/>
          <w:sz w:val="24"/>
          <w:lang w:val="en-US"/>
        </w:rPr>
        <w:t>C</w:t>
      </w:r>
      <w:r w:rsidRPr="005144BE">
        <w:rPr>
          <w:rFonts w:ascii="Times New Roman" w:hAnsi="Times New Roman" w:cs="Times New Roman"/>
          <w:i/>
          <w:sz w:val="24"/>
          <w:lang w:val="uk-UA"/>
        </w:rPr>
        <w:t xml:space="preserve">. </w:t>
      </w:r>
      <w:r w:rsidRPr="005144BE">
        <w:rPr>
          <w:rFonts w:ascii="Times New Roman" w:hAnsi="Times New Roman" w:cs="Times New Roman"/>
          <w:i/>
          <w:sz w:val="24"/>
          <w:lang w:val="en-US"/>
        </w:rPr>
        <w:t>cladosporioides</w:t>
      </w:r>
      <w:r w:rsidRPr="005144BE">
        <w:rPr>
          <w:rFonts w:ascii="Times New Roman" w:hAnsi="Times New Roman" w:cs="Times New Roman"/>
          <w:i/>
          <w:sz w:val="24"/>
          <w:lang w:val="uk-UA"/>
        </w:rPr>
        <w:t xml:space="preserve"> </w:t>
      </w:r>
      <w:r w:rsidRPr="005144BE">
        <w:rPr>
          <w:rFonts w:ascii="Times New Roman" w:hAnsi="Times New Roman" w:cs="Times New Roman"/>
          <w:sz w:val="24"/>
          <w:lang w:val="uk-UA"/>
        </w:rPr>
        <w:t xml:space="preserve">та </w:t>
      </w:r>
      <w:r w:rsidRPr="005144BE">
        <w:rPr>
          <w:rFonts w:ascii="Times New Roman" w:hAnsi="Times New Roman" w:cs="Times New Roman"/>
          <w:i/>
          <w:sz w:val="24"/>
          <w:lang w:val="en-US"/>
        </w:rPr>
        <w:t>C</w:t>
      </w:r>
      <w:r w:rsidRPr="005144BE">
        <w:rPr>
          <w:rFonts w:ascii="Times New Roman" w:hAnsi="Times New Roman" w:cs="Times New Roman"/>
          <w:i/>
          <w:sz w:val="24"/>
          <w:lang w:val="uk-UA"/>
        </w:rPr>
        <w:t>. </w:t>
      </w:r>
      <w:r w:rsidRPr="005144BE">
        <w:rPr>
          <w:rFonts w:ascii="Times New Roman" w:hAnsi="Times New Roman" w:cs="Times New Roman"/>
          <w:i/>
          <w:sz w:val="24"/>
          <w:lang w:val="en-US"/>
        </w:rPr>
        <w:t>sphaerospermum</w:t>
      </w:r>
      <w:r w:rsidRPr="005144BE">
        <w:rPr>
          <w:rFonts w:ascii="Times New Roman" w:hAnsi="Times New Roman" w:cs="Times New Roman"/>
          <w:sz w:val="24"/>
          <w:lang w:val="uk-UA"/>
        </w:rPr>
        <w:t>.</w:t>
      </w:r>
    </w:p>
    <w:p w:rsidR="00F635DC" w:rsidRPr="005144BE" w:rsidRDefault="00BB4054" w:rsidP="00966E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5144BE">
        <w:rPr>
          <w:rFonts w:ascii="Times New Roman" w:hAnsi="Times New Roman" w:cs="Times New Roman"/>
          <w:sz w:val="24"/>
          <w:lang w:val="uk-UA"/>
        </w:rPr>
        <w:t xml:space="preserve">Нами була встановлена значна фунгіцидна активність олігомерних похідних гуанідину щодо зазначених видів на 14-ту росту (табл.1). </w:t>
      </w:r>
    </w:p>
    <w:p w:rsidR="00BB4054" w:rsidRPr="005144BE" w:rsidRDefault="00BB4054" w:rsidP="00BB4054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lang w:val="uk-UA"/>
        </w:rPr>
      </w:pPr>
      <w:r w:rsidRPr="005144BE">
        <w:rPr>
          <w:rFonts w:ascii="Times New Roman" w:hAnsi="Times New Roman" w:cs="Times New Roman"/>
          <w:sz w:val="24"/>
          <w:lang w:val="uk-UA"/>
        </w:rPr>
        <w:t>Таблиця 1. Фунгіцидна активність різних концентрацій речовини М1*(діаметр зони затримки росту грибів, мм).</w:t>
      </w:r>
    </w:p>
    <w:tbl>
      <w:tblPr>
        <w:tblW w:w="831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55"/>
        <w:gridCol w:w="2424"/>
        <w:gridCol w:w="1162"/>
        <w:gridCol w:w="1339"/>
        <w:gridCol w:w="1354"/>
        <w:gridCol w:w="1276"/>
      </w:tblGrid>
      <w:tr w:rsidR="00BB4054" w:rsidRPr="005144BE" w:rsidTr="00BB4054">
        <w:trPr>
          <w:trHeight w:val="423"/>
          <w:jc w:val="center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054" w:rsidRPr="005144BE" w:rsidRDefault="00BB4054" w:rsidP="0057459F">
            <w:pPr>
              <w:widowControl w:val="0"/>
              <w:shd w:val="clear" w:color="auto" w:fill="FFFFFF"/>
              <w:tabs>
                <w:tab w:val="left" w:pos="1073"/>
              </w:tabs>
              <w:spacing w:after="0" w:line="360" w:lineRule="auto"/>
              <w:ind w:right="284"/>
              <w:jc w:val="center"/>
              <w:rPr>
                <w:rFonts w:ascii="Times New Roman" w:hAnsi="Times New Roman"/>
                <w:b/>
                <w:sz w:val="24"/>
                <w:szCs w:val="28"/>
                <w:lang w:val="uk-UA" w:eastAsia="en-US"/>
              </w:rPr>
            </w:pPr>
            <w:r w:rsidRPr="005144BE">
              <w:rPr>
                <w:rFonts w:ascii="Times New Roman" w:hAnsi="Times New Roman"/>
                <w:b/>
                <w:sz w:val="24"/>
                <w:szCs w:val="28"/>
                <w:lang w:val="uk-UA" w:eastAsia="en-US"/>
              </w:rPr>
              <w:t xml:space="preserve">№ </w:t>
            </w:r>
          </w:p>
          <w:p w:rsidR="00BB4054" w:rsidRPr="005144BE" w:rsidRDefault="00BB4054" w:rsidP="0057459F">
            <w:pPr>
              <w:widowControl w:val="0"/>
              <w:shd w:val="clear" w:color="auto" w:fill="FFFFFF"/>
              <w:tabs>
                <w:tab w:val="left" w:pos="1073"/>
              </w:tabs>
              <w:spacing w:after="0" w:line="360" w:lineRule="auto"/>
              <w:ind w:right="284"/>
              <w:jc w:val="center"/>
              <w:rPr>
                <w:rFonts w:ascii="Times New Roman" w:hAnsi="Times New Roman"/>
                <w:b/>
                <w:sz w:val="24"/>
                <w:szCs w:val="28"/>
                <w:lang w:val="uk-UA" w:eastAsia="en-US"/>
              </w:rPr>
            </w:pPr>
            <w:r w:rsidRPr="005144BE">
              <w:rPr>
                <w:rFonts w:ascii="Times New Roman" w:hAnsi="Times New Roman"/>
                <w:b/>
                <w:sz w:val="24"/>
                <w:szCs w:val="28"/>
                <w:lang w:val="uk-UA" w:eastAsia="en-US"/>
              </w:rPr>
              <w:t>п/п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054" w:rsidRPr="005144BE" w:rsidRDefault="00BB4054" w:rsidP="0057459F">
            <w:pPr>
              <w:widowControl w:val="0"/>
              <w:shd w:val="clear" w:color="auto" w:fill="FFFFFF"/>
              <w:spacing w:after="0" w:line="360" w:lineRule="auto"/>
              <w:ind w:right="720"/>
              <w:jc w:val="center"/>
              <w:rPr>
                <w:rFonts w:ascii="Times New Roman" w:hAnsi="Times New Roman"/>
                <w:b/>
                <w:sz w:val="24"/>
                <w:szCs w:val="28"/>
                <w:lang w:val="uk-UA" w:eastAsia="en-US"/>
              </w:rPr>
            </w:pPr>
            <w:r w:rsidRPr="005144BE">
              <w:rPr>
                <w:rFonts w:ascii="Times New Roman" w:hAnsi="Times New Roman"/>
                <w:b/>
                <w:sz w:val="24"/>
                <w:szCs w:val="28"/>
                <w:lang w:val="uk-UA" w:eastAsia="en-US"/>
              </w:rPr>
              <w:t>Назва виду</w:t>
            </w:r>
          </w:p>
        </w:tc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054" w:rsidRPr="005144BE" w:rsidRDefault="00BB4054" w:rsidP="0057459F">
            <w:pPr>
              <w:widowControl w:val="0"/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uk-UA" w:eastAsia="uk-UA"/>
              </w:rPr>
            </w:pPr>
            <w:r w:rsidRPr="005144BE">
              <w:rPr>
                <w:rFonts w:ascii="Times New Roman" w:hAnsi="Times New Roman"/>
                <w:b/>
                <w:sz w:val="24"/>
                <w:szCs w:val="28"/>
                <w:lang w:val="uk-UA" w:eastAsia="en-US"/>
              </w:rPr>
              <w:t>Концентрація М1, %</w:t>
            </w:r>
          </w:p>
        </w:tc>
      </w:tr>
      <w:tr w:rsidR="00BB4054" w:rsidRPr="005144BE" w:rsidTr="00BB4054">
        <w:trPr>
          <w:trHeight w:val="434"/>
          <w:jc w:val="center"/>
        </w:trPr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054" w:rsidRPr="005144BE" w:rsidRDefault="00BB4054" w:rsidP="0057459F">
            <w:pPr>
              <w:widowControl w:val="0"/>
              <w:shd w:val="clear" w:color="auto" w:fill="FFFFFF"/>
              <w:spacing w:after="0" w:line="360" w:lineRule="auto"/>
              <w:ind w:right="720"/>
              <w:jc w:val="center"/>
              <w:rPr>
                <w:rFonts w:ascii="Times New Roman" w:hAnsi="Times New Roman"/>
                <w:b/>
                <w:sz w:val="24"/>
                <w:szCs w:val="28"/>
                <w:lang w:val="uk-UA" w:eastAsia="en-US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054" w:rsidRPr="005144BE" w:rsidRDefault="00BB4054" w:rsidP="0057459F">
            <w:pPr>
              <w:widowControl w:val="0"/>
              <w:shd w:val="clear" w:color="auto" w:fill="FFFFFF"/>
              <w:spacing w:after="0" w:line="360" w:lineRule="auto"/>
              <w:ind w:right="720"/>
              <w:jc w:val="center"/>
              <w:rPr>
                <w:rFonts w:ascii="Times New Roman" w:hAnsi="Times New Roman"/>
                <w:b/>
                <w:sz w:val="24"/>
                <w:szCs w:val="28"/>
                <w:lang w:val="uk-UA"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054" w:rsidRPr="005144BE" w:rsidRDefault="00BB4054" w:rsidP="0057459F">
            <w:pPr>
              <w:widowControl w:val="0"/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uk-UA" w:eastAsia="uk-UA"/>
              </w:rPr>
            </w:pPr>
            <w:r w:rsidRPr="005144BE">
              <w:rPr>
                <w:rFonts w:ascii="Times New Roman" w:hAnsi="Times New Roman"/>
                <w:b/>
                <w:sz w:val="24"/>
                <w:szCs w:val="28"/>
                <w:lang w:val="uk-UA" w:eastAsia="uk-UA"/>
              </w:rPr>
              <w:t>0,5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054" w:rsidRPr="005144BE" w:rsidRDefault="00BB4054" w:rsidP="0057459F">
            <w:pPr>
              <w:widowControl w:val="0"/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uk-UA" w:eastAsia="uk-UA"/>
              </w:rPr>
            </w:pPr>
            <w:r w:rsidRPr="005144BE">
              <w:rPr>
                <w:rFonts w:ascii="Times New Roman" w:hAnsi="Times New Roman"/>
                <w:b/>
                <w:sz w:val="24"/>
                <w:szCs w:val="28"/>
                <w:lang w:val="uk-UA" w:eastAsia="uk-UA"/>
              </w:rPr>
              <w:t>1,0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BB4054" w:rsidRPr="005144BE" w:rsidRDefault="00BB4054" w:rsidP="0057459F">
            <w:pPr>
              <w:widowControl w:val="0"/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uk-UA" w:eastAsia="uk-UA"/>
              </w:rPr>
            </w:pPr>
            <w:r w:rsidRPr="005144BE">
              <w:rPr>
                <w:rFonts w:ascii="Times New Roman" w:hAnsi="Times New Roman"/>
                <w:b/>
                <w:sz w:val="24"/>
                <w:szCs w:val="28"/>
                <w:lang w:val="uk-UA" w:eastAsia="uk-UA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054" w:rsidRPr="005144BE" w:rsidRDefault="00BB4054" w:rsidP="0057459F">
            <w:pPr>
              <w:widowControl w:val="0"/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uk-UA" w:eastAsia="uk-UA"/>
              </w:rPr>
            </w:pPr>
            <w:r w:rsidRPr="005144BE">
              <w:rPr>
                <w:rFonts w:ascii="Times New Roman" w:hAnsi="Times New Roman"/>
                <w:b/>
                <w:sz w:val="24"/>
                <w:szCs w:val="28"/>
                <w:lang w:val="uk-UA" w:eastAsia="uk-UA"/>
              </w:rPr>
              <w:t>5,0</w:t>
            </w:r>
          </w:p>
        </w:tc>
      </w:tr>
      <w:tr w:rsidR="00BB4054" w:rsidRPr="005144BE" w:rsidTr="00BB4054">
        <w:trPr>
          <w:trHeight w:val="222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054" w:rsidRPr="005144BE" w:rsidRDefault="00BB4054" w:rsidP="0057459F">
            <w:pPr>
              <w:widowControl w:val="0"/>
              <w:spacing w:after="0" w:line="360" w:lineRule="auto"/>
              <w:rPr>
                <w:rFonts w:ascii="Times New Roman" w:hAnsi="Times New Roman"/>
                <w:iCs/>
                <w:sz w:val="24"/>
                <w:szCs w:val="28"/>
                <w:lang w:val="uk-UA" w:eastAsia="en-US"/>
              </w:rPr>
            </w:pPr>
            <w:r w:rsidRPr="005144BE">
              <w:rPr>
                <w:rFonts w:ascii="Times New Roman" w:hAnsi="Times New Roman"/>
                <w:iCs/>
                <w:sz w:val="24"/>
                <w:szCs w:val="28"/>
                <w:lang w:val="uk-UA" w:eastAsia="en-US"/>
              </w:rPr>
              <w:t>1.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054" w:rsidRPr="005144BE" w:rsidRDefault="00BB4054" w:rsidP="00BB4054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  <w:lang w:val="uk-UA" w:eastAsia="en-US"/>
              </w:rPr>
            </w:pPr>
            <w:r w:rsidRPr="005144BE">
              <w:rPr>
                <w:rFonts w:ascii="Times New Roman" w:hAnsi="Times New Roman"/>
                <w:i/>
                <w:iCs/>
                <w:sz w:val="24"/>
                <w:szCs w:val="28"/>
                <w:lang w:val="uk-UA" w:eastAsia="en-US"/>
              </w:rPr>
              <w:t>A. alternata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054" w:rsidRPr="005144BE" w:rsidRDefault="00BB4054" w:rsidP="00BB4054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  <w:lang w:val="uk-UA" w:eastAsia="en-US"/>
              </w:rPr>
            </w:pPr>
            <w:r w:rsidRPr="005144BE">
              <w:rPr>
                <w:rFonts w:ascii="Times New Roman" w:hAnsi="Times New Roman"/>
                <w:sz w:val="24"/>
                <w:szCs w:val="28"/>
                <w:lang w:val="uk-UA" w:eastAsia="uk-UA"/>
              </w:rPr>
              <w:t>24,4</w:t>
            </w:r>
            <w:r w:rsidRPr="005144BE">
              <w:rPr>
                <w:rFonts w:ascii="Times New Roman" w:hAnsi="Times New Roman"/>
                <w:sz w:val="24"/>
                <w:szCs w:val="28"/>
                <w:lang w:val="uk-UA" w:eastAsia="en-US"/>
              </w:rPr>
              <w:t>±1,0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054" w:rsidRPr="005144BE" w:rsidRDefault="00BB4054" w:rsidP="00BB4054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  <w:lang w:val="uk-UA" w:eastAsia="en-US"/>
              </w:rPr>
            </w:pPr>
            <w:r w:rsidRPr="005144BE">
              <w:rPr>
                <w:rFonts w:ascii="Times New Roman" w:hAnsi="Times New Roman"/>
                <w:sz w:val="24"/>
                <w:szCs w:val="28"/>
                <w:lang w:val="uk-UA" w:eastAsia="uk-UA"/>
              </w:rPr>
              <w:t>40,0</w:t>
            </w:r>
            <w:r w:rsidRPr="005144BE">
              <w:rPr>
                <w:rFonts w:ascii="Times New Roman" w:hAnsi="Times New Roman"/>
                <w:sz w:val="24"/>
                <w:szCs w:val="28"/>
                <w:lang w:val="uk-UA" w:eastAsia="en-US"/>
              </w:rPr>
              <w:t>±1,5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B4054" w:rsidRPr="005144BE" w:rsidRDefault="00BB4054" w:rsidP="00BB4054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  <w:lang w:val="uk-UA" w:eastAsia="en-US"/>
              </w:rPr>
            </w:pPr>
            <w:r w:rsidRPr="005144BE">
              <w:rPr>
                <w:rFonts w:ascii="Times New Roman" w:hAnsi="Times New Roman"/>
                <w:sz w:val="24"/>
                <w:szCs w:val="28"/>
                <w:lang w:val="uk-UA" w:eastAsia="en-US"/>
              </w:rPr>
              <w:t>55,5±2,0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054" w:rsidRPr="005144BE" w:rsidRDefault="00BB4054" w:rsidP="00BB4054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  <w:lang w:val="uk-UA" w:eastAsia="en-US"/>
              </w:rPr>
            </w:pPr>
            <w:r w:rsidRPr="005144BE">
              <w:rPr>
                <w:rFonts w:ascii="Times New Roman" w:hAnsi="Times New Roman"/>
                <w:sz w:val="24"/>
                <w:szCs w:val="28"/>
                <w:lang w:val="uk-UA" w:eastAsia="en-US"/>
              </w:rPr>
              <w:t>55,5±2,0</w:t>
            </w:r>
          </w:p>
        </w:tc>
      </w:tr>
      <w:tr w:rsidR="00BB4054" w:rsidRPr="005144BE" w:rsidTr="00BB4054">
        <w:trPr>
          <w:trHeight w:val="218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054" w:rsidRPr="005144BE" w:rsidRDefault="00BB4054" w:rsidP="0057459F">
            <w:pPr>
              <w:widowControl w:val="0"/>
              <w:spacing w:after="0" w:line="360" w:lineRule="auto"/>
              <w:rPr>
                <w:rFonts w:ascii="Times New Roman" w:hAnsi="Times New Roman"/>
                <w:iCs/>
                <w:sz w:val="24"/>
                <w:szCs w:val="28"/>
                <w:lang w:val="uk-UA" w:eastAsia="en-US"/>
              </w:rPr>
            </w:pPr>
            <w:r w:rsidRPr="005144BE">
              <w:rPr>
                <w:rFonts w:ascii="Times New Roman" w:hAnsi="Times New Roman"/>
                <w:iCs/>
                <w:sz w:val="24"/>
                <w:szCs w:val="28"/>
                <w:lang w:val="uk-UA" w:eastAsia="en-US"/>
              </w:rPr>
              <w:t>7.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054" w:rsidRPr="005144BE" w:rsidRDefault="00BB4054" w:rsidP="00BB4054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8"/>
                <w:lang w:val="uk-UA" w:eastAsia="en-US"/>
              </w:rPr>
            </w:pPr>
            <w:r w:rsidRPr="005144BE">
              <w:rPr>
                <w:rFonts w:ascii="Times New Roman" w:hAnsi="Times New Roman"/>
                <w:i/>
                <w:iCs/>
                <w:sz w:val="24"/>
                <w:szCs w:val="28"/>
                <w:lang w:val="uk-UA" w:eastAsia="en-US"/>
              </w:rPr>
              <w:t>C. cladosporioides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054" w:rsidRPr="005144BE" w:rsidRDefault="00BB4054" w:rsidP="00BB4054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  <w:lang w:val="uk-UA" w:eastAsia="uk-UA"/>
              </w:rPr>
            </w:pPr>
            <w:r w:rsidRPr="005144BE">
              <w:rPr>
                <w:rFonts w:ascii="Times New Roman" w:hAnsi="Times New Roman"/>
                <w:sz w:val="24"/>
                <w:szCs w:val="28"/>
                <w:lang w:val="uk-UA" w:eastAsia="uk-UA"/>
              </w:rPr>
              <w:t>33,3±0,4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054" w:rsidRPr="005144BE" w:rsidRDefault="00BB4054" w:rsidP="00BB4054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  <w:lang w:val="uk-UA" w:eastAsia="uk-UA"/>
              </w:rPr>
            </w:pPr>
            <w:r w:rsidRPr="005144BE">
              <w:rPr>
                <w:rFonts w:ascii="Times New Roman" w:hAnsi="Times New Roman"/>
                <w:sz w:val="24"/>
                <w:szCs w:val="28"/>
                <w:lang w:val="uk-UA" w:eastAsia="uk-UA"/>
              </w:rPr>
              <w:t>51,1±2,5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B4054" w:rsidRPr="005144BE" w:rsidRDefault="00BB4054" w:rsidP="00BB4054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  <w:lang w:val="uk-UA" w:eastAsia="en-US"/>
              </w:rPr>
            </w:pPr>
            <w:r w:rsidRPr="005144BE">
              <w:rPr>
                <w:rFonts w:ascii="Times New Roman" w:hAnsi="Times New Roman"/>
                <w:sz w:val="24"/>
                <w:szCs w:val="28"/>
                <w:lang w:val="uk-UA" w:eastAsia="en-US"/>
              </w:rPr>
              <w:t>87,8±3,2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054" w:rsidRPr="005144BE" w:rsidRDefault="00BB4054" w:rsidP="00BB4054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  <w:lang w:val="uk-UA" w:eastAsia="en-US"/>
              </w:rPr>
            </w:pPr>
            <w:r w:rsidRPr="005144BE">
              <w:rPr>
                <w:rFonts w:ascii="Times New Roman" w:hAnsi="Times New Roman"/>
                <w:sz w:val="24"/>
                <w:szCs w:val="28"/>
                <w:lang w:val="uk-UA" w:eastAsia="en-US"/>
              </w:rPr>
              <w:t>58,9±2,7</w:t>
            </w:r>
          </w:p>
        </w:tc>
      </w:tr>
      <w:tr w:rsidR="00BB4054" w:rsidRPr="005144BE" w:rsidTr="00BB4054">
        <w:trPr>
          <w:trHeight w:val="218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054" w:rsidRPr="005144BE" w:rsidRDefault="00BB4054" w:rsidP="0057459F">
            <w:pPr>
              <w:widowControl w:val="0"/>
              <w:spacing w:after="0" w:line="360" w:lineRule="auto"/>
              <w:rPr>
                <w:rFonts w:ascii="Times New Roman" w:hAnsi="Times New Roman"/>
                <w:iCs/>
                <w:sz w:val="24"/>
                <w:szCs w:val="28"/>
                <w:lang w:val="uk-UA" w:eastAsia="en-US"/>
              </w:rPr>
            </w:pPr>
            <w:r w:rsidRPr="005144BE">
              <w:rPr>
                <w:rFonts w:ascii="Times New Roman" w:hAnsi="Times New Roman"/>
                <w:iCs/>
                <w:sz w:val="24"/>
                <w:szCs w:val="28"/>
                <w:lang w:val="uk-UA" w:eastAsia="en-US"/>
              </w:rPr>
              <w:t>8.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054" w:rsidRPr="005144BE" w:rsidRDefault="00BB4054" w:rsidP="00BB4054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8"/>
                <w:lang w:val="uk-UA" w:eastAsia="en-US"/>
              </w:rPr>
            </w:pPr>
            <w:r w:rsidRPr="005144BE">
              <w:rPr>
                <w:rFonts w:ascii="Times New Roman" w:hAnsi="Times New Roman"/>
                <w:i/>
                <w:iCs/>
                <w:sz w:val="24"/>
                <w:szCs w:val="28"/>
                <w:lang w:val="uk-UA" w:eastAsia="en-US"/>
              </w:rPr>
              <w:t>C. sphaerospermum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054" w:rsidRPr="005144BE" w:rsidRDefault="00BB4054" w:rsidP="00BB4054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  <w:lang w:val="uk-UA" w:eastAsia="uk-UA"/>
              </w:rPr>
            </w:pPr>
            <w:r w:rsidRPr="005144BE">
              <w:rPr>
                <w:rFonts w:ascii="Times New Roman" w:hAnsi="Times New Roman"/>
                <w:sz w:val="24"/>
                <w:szCs w:val="28"/>
                <w:lang w:val="uk-UA" w:eastAsia="uk-UA"/>
              </w:rPr>
              <w:t>33,3±0,4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054" w:rsidRPr="005144BE" w:rsidRDefault="00BB4054" w:rsidP="00BB4054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  <w:lang w:val="uk-UA" w:eastAsia="uk-UA"/>
              </w:rPr>
            </w:pPr>
            <w:r w:rsidRPr="005144BE">
              <w:rPr>
                <w:rFonts w:ascii="Times New Roman" w:hAnsi="Times New Roman"/>
                <w:sz w:val="24"/>
                <w:szCs w:val="28"/>
                <w:lang w:val="uk-UA" w:eastAsia="uk-UA"/>
              </w:rPr>
              <w:t>70,0±2,8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B4054" w:rsidRPr="005144BE" w:rsidRDefault="00BB4054" w:rsidP="00BB4054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  <w:lang w:val="uk-UA" w:eastAsia="en-US"/>
              </w:rPr>
            </w:pPr>
            <w:r w:rsidRPr="005144BE">
              <w:rPr>
                <w:rFonts w:ascii="Times New Roman" w:hAnsi="Times New Roman"/>
                <w:sz w:val="24"/>
                <w:szCs w:val="28"/>
                <w:lang w:val="uk-UA" w:eastAsia="en-US"/>
              </w:rPr>
              <w:t>62,2±2,0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054" w:rsidRPr="005144BE" w:rsidRDefault="00BB4054" w:rsidP="00BB4054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  <w:lang w:val="uk-UA" w:eastAsia="en-US"/>
              </w:rPr>
            </w:pPr>
            <w:r w:rsidRPr="005144BE">
              <w:rPr>
                <w:rFonts w:ascii="Times New Roman" w:hAnsi="Times New Roman"/>
                <w:sz w:val="24"/>
                <w:szCs w:val="28"/>
                <w:lang w:val="uk-UA" w:eastAsia="en-US"/>
              </w:rPr>
              <w:t>53,3±2,5</w:t>
            </w:r>
          </w:p>
        </w:tc>
      </w:tr>
    </w:tbl>
    <w:p w:rsidR="00F635DC" w:rsidRPr="005144BE" w:rsidRDefault="00BB4054" w:rsidP="00966E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5144BE">
        <w:rPr>
          <w:rFonts w:ascii="Times New Roman" w:hAnsi="Times New Roman" w:cs="Times New Roman"/>
          <w:sz w:val="24"/>
          <w:lang w:val="uk-UA"/>
        </w:rPr>
        <w:t>* Примітка: М1 - олігомерна похідна гуанідину, що містить пропан-2,2-диілдибензенову хімічну групу.</w:t>
      </w:r>
    </w:p>
    <w:p w:rsidR="00BB4054" w:rsidRPr="005144BE" w:rsidRDefault="00BB4054" w:rsidP="00966E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u w:val="single"/>
          <w:lang w:val="uk-UA"/>
        </w:rPr>
      </w:pPr>
      <w:r w:rsidRPr="005144BE">
        <w:rPr>
          <w:rFonts w:ascii="Times New Roman" w:hAnsi="Times New Roman" w:cs="Times New Roman"/>
          <w:sz w:val="24"/>
          <w:lang w:val="uk-UA"/>
        </w:rPr>
        <w:t xml:space="preserve">Згідно отриманих даних, найефективнішою виявилася речовина М1 в концентрації 3%. Менші її концентрації – 0,5 та 1% мали нижчу фунгіцидну активність, а підвищення її до 5% не призводило до зростання інгібування у </w:t>
      </w:r>
      <w:r w:rsidRPr="005144BE">
        <w:rPr>
          <w:rFonts w:ascii="Times New Roman" w:hAnsi="Times New Roman"/>
          <w:i/>
          <w:iCs/>
          <w:sz w:val="24"/>
          <w:szCs w:val="28"/>
          <w:lang w:val="uk-UA" w:eastAsia="en-US"/>
        </w:rPr>
        <w:t>A. alternata</w:t>
      </w:r>
      <w:r w:rsidRPr="005144BE">
        <w:rPr>
          <w:rFonts w:ascii="Times New Roman" w:hAnsi="Times New Roman"/>
          <w:i/>
          <w:iCs/>
          <w:sz w:val="24"/>
          <w:szCs w:val="28"/>
          <w:lang w:val="uk-UA" w:eastAsia="en-US"/>
        </w:rPr>
        <w:t xml:space="preserve"> </w:t>
      </w:r>
      <w:r w:rsidRPr="005144BE">
        <w:rPr>
          <w:rFonts w:ascii="Times New Roman" w:hAnsi="Times New Roman"/>
          <w:iCs/>
          <w:sz w:val="24"/>
          <w:szCs w:val="28"/>
          <w:lang w:val="uk-UA" w:eastAsia="en-US"/>
        </w:rPr>
        <w:t xml:space="preserve">та знижувало пригнічення </w:t>
      </w:r>
      <w:r w:rsidRPr="005144BE">
        <w:rPr>
          <w:rFonts w:ascii="Times New Roman" w:hAnsi="Times New Roman" w:cs="Times New Roman"/>
          <w:i/>
          <w:sz w:val="24"/>
          <w:lang w:val="uk-UA"/>
        </w:rPr>
        <w:t>C. cladosporioides</w:t>
      </w:r>
      <w:r w:rsidRPr="005144BE">
        <w:rPr>
          <w:rFonts w:ascii="Times New Roman" w:hAnsi="Times New Roman" w:cs="Times New Roman"/>
          <w:sz w:val="24"/>
          <w:lang w:val="uk-UA"/>
        </w:rPr>
        <w:t xml:space="preserve"> та </w:t>
      </w:r>
      <w:r w:rsidRPr="005144BE">
        <w:rPr>
          <w:rFonts w:ascii="Times New Roman" w:hAnsi="Times New Roman" w:cs="Times New Roman"/>
          <w:i/>
          <w:sz w:val="24"/>
          <w:lang w:val="uk-UA"/>
        </w:rPr>
        <w:t xml:space="preserve">C. sphaerospermum </w:t>
      </w:r>
      <w:r w:rsidRPr="005144BE">
        <w:rPr>
          <w:rFonts w:ascii="Times New Roman" w:hAnsi="Times New Roman" w:cs="Times New Roman"/>
          <w:sz w:val="24"/>
          <w:lang w:val="uk-UA"/>
        </w:rPr>
        <w:t>[</w:t>
      </w:r>
      <w:r w:rsidR="005144BE" w:rsidRPr="005144BE">
        <w:rPr>
          <w:rFonts w:ascii="Times New Roman" w:hAnsi="Times New Roman" w:cs="Times New Roman"/>
          <w:sz w:val="24"/>
          <w:lang w:val="uk-UA"/>
        </w:rPr>
        <w:t>6</w:t>
      </w:r>
      <w:r w:rsidRPr="005144BE">
        <w:rPr>
          <w:rFonts w:ascii="Times New Roman" w:hAnsi="Times New Roman" w:cs="Times New Roman"/>
          <w:sz w:val="24"/>
          <w:lang w:val="uk-UA"/>
        </w:rPr>
        <w:t>]. На нашу думку, таке явище пояснюється зниженням розчинності фунгіциду М1 у воді з підвищенням його концентрації та як наслідок – послабленням дифузії його в агар і, відповідно, зменшенням його потрапляння до клітин мікроскопічних грибів.</w:t>
      </w:r>
    </w:p>
    <w:p w:rsidR="00BB4054" w:rsidRPr="005144BE" w:rsidRDefault="00BB4054" w:rsidP="00966E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5144BE">
        <w:rPr>
          <w:rFonts w:ascii="Times New Roman" w:hAnsi="Times New Roman" w:cs="Times New Roman"/>
          <w:sz w:val="24"/>
          <w:lang w:val="uk-UA"/>
        </w:rPr>
        <w:t>Наступним етапом наших досліджень було порівняння фунгіцидної активності М1 з рядом олігомерних похідних гуанідину, що мали робочі назви J1, М1-ЕДА та М1-ДЕТА. Як еталон фунгіцидної активності використовували полігексаметиленгуанідин гідрохлорид (ПГМГ), що широко застосовується як біоцидний та консервуючий засіб (табл.2).</w:t>
      </w:r>
    </w:p>
    <w:p w:rsidR="00BB4054" w:rsidRPr="005144BE" w:rsidRDefault="00BB4054" w:rsidP="00BB4054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4"/>
          <w:szCs w:val="28"/>
          <w:lang w:val="uk-UA"/>
        </w:rPr>
      </w:pPr>
      <w:r w:rsidRPr="005144BE">
        <w:rPr>
          <w:rFonts w:ascii="Times New Roman" w:hAnsi="Times New Roman"/>
          <w:b/>
          <w:bCs/>
          <w:sz w:val="24"/>
          <w:szCs w:val="28"/>
          <w:lang w:val="uk-UA"/>
        </w:rPr>
        <w:t xml:space="preserve">Таблиця 2. Фунгіцидна активність </w:t>
      </w:r>
      <w:r w:rsidRPr="005144BE">
        <w:rPr>
          <w:rFonts w:ascii="Times New Roman" w:hAnsi="Times New Roman"/>
          <w:b/>
          <w:sz w:val="24"/>
          <w:szCs w:val="28"/>
          <w:lang w:val="uk-UA"/>
        </w:rPr>
        <w:t>3%-х водних розчинів</w:t>
      </w:r>
      <w:r w:rsidRPr="005144BE">
        <w:rPr>
          <w:rFonts w:ascii="Times New Roman" w:hAnsi="Times New Roman"/>
          <w:b/>
          <w:bCs/>
          <w:sz w:val="24"/>
          <w:szCs w:val="28"/>
          <w:lang w:val="uk-UA"/>
        </w:rPr>
        <w:t xml:space="preserve"> досліджених сполук.</w:t>
      </w:r>
    </w:p>
    <w:tbl>
      <w:tblPr>
        <w:tblW w:w="9492" w:type="dxa"/>
        <w:jc w:val="center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2474"/>
        <w:gridCol w:w="1247"/>
        <w:gridCol w:w="1247"/>
        <w:gridCol w:w="1247"/>
        <w:gridCol w:w="1247"/>
        <w:gridCol w:w="1276"/>
      </w:tblGrid>
      <w:tr w:rsidR="00BB4054" w:rsidRPr="005144BE" w:rsidTr="0057459F">
        <w:trPr>
          <w:trHeight w:val="445"/>
          <w:jc w:val="center"/>
        </w:trPr>
        <w:tc>
          <w:tcPr>
            <w:tcW w:w="754" w:type="dxa"/>
            <w:vMerge w:val="restart"/>
          </w:tcPr>
          <w:p w:rsidR="00BB4054" w:rsidRPr="005144BE" w:rsidRDefault="00BB4054" w:rsidP="0057459F">
            <w:pPr>
              <w:widowControl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8"/>
                <w:lang w:val="uk-UA"/>
              </w:rPr>
            </w:pPr>
            <w:r w:rsidRPr="005144BE">
              <w:rPr>
                <w:rFonts w:ascii="Times New Roman" w:hAnsi="Times New Roman"/>
                <w:b/>
                <w:bCs/>
                <w:sz w:val="24"/>
                <w:szCs w:val="28"/>
                <w:lang w:val="uk-UA"/>
              </w:rPr>
              <w:t>№</w:t>
            </w:r>
          </w:p>
          <w:p w:rsidR="00BB4054" w:rsidRPr="005144BE" w:rsidRDefault="00BB4054" w:rsidP="0057459F">
            <w:pPr>
              <w:widowControl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8"/>
                <w:lang w:val="uk-UA"/>
              </w:rPr>
            </w:pPr>
            <w:r w:rsidRPr="005144BE">
              <w:rPr>
                <w:rFonts w:ascii="Times New Roman" w:hAnsi="Times New Roman"/>
                <w:b/>
                <w:bCs/>
                <w:sz w:val="24"/>
                <w:szCs w:val="28"/>
                <w:lang w:val="uk-UA"/>
              </w:rPr>
              <w:t>п/п</w:t>
            </w:r>
          </w:p>
        </w:tc>
        <w:tc>
          <w:tcPr>
            <w:tcW w:w="2474" w:type="dxa"/>
            <w:vMerge w:val="restart"/>
            <w:vAlign w:val="center"/>
          </w:tcPr>
          <w:p w:rsidR="00BB4054" w:rsidRPr="005144BE" w:rsidRDefault="00BB4054" w:rsidP="0057459F">
            <w:pPr>
              <w:widowControl w:val="0"/>
              <w:spacing w:after="0" w:line="360" w:lineRule="auto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5144BE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Назва виду</w:t>
            </w:r>
          </w:p>
        </w:tc>
        <w:tc>
          <w:tcPr>
            <w:tcW w:w="6264" w:type="dxa"/>
            <w:gridSpan w:val="5"/>
            <w:vAlign w:val="center"/>
          </w:tcPr>
          <w:p w:rsidR="00BB4054" w:rsidRPr="005144BE" w:rsidRDefault="00BB4054" w:rsidP="0057459F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5144BE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Діаметр зон затримки росту, мм</w:t>
            </w:r>
          </w:p>
        </w:tc>
      </w:tr>
      <w:tr w:rsidR="00BB4054" w:rsidRPr="005144BE" w:rsidTr="0057459F">
        <w:trPr>
          <w:trHeight w:val="381"/>
          <w:jc w:val="center"/>
        </w:trPr>
        <w:tc>
          <w:tcPr>
            <w:tcW w:w="754" w:type="dxa"/>
            <w:vMerge/>
          </w:tcPr>
          <w:p w:rsidR="00BB4054" w:rsidRPr="005144BE" w:rsidRDefault="00BB4054" w:rsidP="0057459F">
            <w:pPr>
              <w:widowControl w:val="0"/>
              <w:spacing w:after="0" w:line="360" w:lineRule="auto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2474" w:type="dxa"/>
            <w:vMerge/>
          </w:tcPr>
          <w:p w:rsidR="00BB4054" w:rsidRPr="005144BE" w:rsidRDefault="00BB4054" w:rsidP="0057459F">
            <w:pPr>
              <w:widowControl w:val="0"/>
              <w:spacing w:after="0" w:line="360" w:lineRule="auto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1247" w:type="dxa"/>
            <w:vAlign w:val="center"/>
          </w:tcPr>
          <w:p w:rsidR="00BB4054" w:rsidRPr="005144BE" w:rsidRDefault="00BB4054" w:rsidP="0057459F">
            <w:pPr>
              <w:widowControl w:val="0"/>
              <w:spacing w:after="0" w:line="360" w:lineRule="auto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5144BE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J1</w:t>
            </w:r>
          </w:p>
        </w:tc>
        <w:tc>
          <w:tcPr>
            <w:tcW w:w="1247" w:type="dxa"/>
            <w:vAlign w:val="center"/>
          </w:tcPr>
          <w:p w:rsidR="00BB4054" w:rsidRPr="005144BE" w:rsidRDefault="00BB4054" w:rsidP="0057459F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5144BE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M1-</w:t>
            </w:r>
          </w:p>
          <w:p w:rsidR="00BB4054" w:rsidRPr="005144BE" w:rsidRDefault="00BB4054" w:rsidP="0057459F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5144BE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ЕДА</w:t>
            </w:r>
          </w:p>
        </w:tc>
        <w:tc>
          <w:tcPr>
            <w:tcW w:w="1247" w:type="dxa"/>
            <w:vAlign w:val="center"/>
          </w:tcPr>
          <w:p w:rsidR="00BB4054" w:rsidRPr="005144BE" w:rsidRDefault="00BB4054" w:rsidP="0057459F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5144BE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M1-ДЕТА</w:t>
            </w:r>
          </w:p>
        </w:tc>
        <w:tc>
          <w:tcPr>
            <w:tcW w:w="1247" w:type="dxa"/>
            <w:vAlign w:val="center"/>
          </w:tcPr>
          <w:p w:rsidR="00BB4054" w:rsidRPr="005144BE" w:rsidRDefault="00BB4054" w:rsidP="0057459F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5144BE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M1</w:t>
            </w:r>
          </w:p>
        </w:tc>
        <w:tc>
          <w:tcPr>
            <w:tcW w:w="1276" w:type="dxa"/>
            <w:vAlign w:val="center"/>
          </w:tcPr>
          <w:p w:rsidR="00BB4054" w:rsidRPr="005144BE" w:rsidRDefault="00BB4054" w:rsidP="0057459F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5144BE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ПГМГ</w:t>
            </w:r>
          </w:p>
        </w:tc>
      </w:tr>
      <w:tr w:rsidR="00BB4054" w:rsidRPr="005144BE" w:rsidTr="00BB4054">
        <w:trPr>
          <w:trHeight w:val="407"/>
          <w:jc w:val="center"/>
        </w:trPr>
        <w:tc>
          <w:tcPr>
            <w:tcW w:w="754" w:type="dxa"/>
          </w:tcPr>
          <w:p w:rsidR="00BB4054" w:rsidRPr="005144BE" w:rsidRDefault="00BB4054" w:rsidP="0057459F">
            <w:pPr>
              <w:widowControl w:val="0"/>
              <w:spacing w:after="0" w:line="360" w:lineRule="auto"/>
              <w:rPr>
                <w:rFonts w:ascii="Times New Roman" w:hAnsi="Times New Roman"/>
                <w:iCs/>
                <w:sz w:val="24"/>
                <w:szCs w:val="28"/>
                <w:lang w:val="uk-UA"/>
              </w:rPr>
            </w:pPr>
            <w:r w:rsidRPr="005144BE">
              <w:rPr>
                <w:rFonts w:ascii="Times New Roman" w:hAnsi="Times New Roman"/>
                <w:iCs/>
                <w:sz w:val="24"/>
                <w:szCs w:val="28"/>
                <w:lang w:val="uk-UA"/>
              </w:rPr>
              <w:t>1.</w:t>
            </w:r>
          </w:p>
        </w:tc>
        <w:tc>
          <w:tcPr>
            <w:tcW w:w="2474" w:type="dxa"/>
          </w:tcPr>
          <w:p w:rsidR="00BB4054" w:rsidRPr="005144BE" w:rsidRDefault="00BB4054" w:rsidP="0057459F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5144BE">
              <w:rPr>
                <w:rFonts w:ascii="Times New Roman" w:hAnsi="Times New Roman"/>
                <w:i/>
                <w:iCs/>
                <w:sz w:val="24"/>
                <w:szCs w:val="28"/>
                <w:lang w:val="uk-UA"/>
              </w:rPr>
              <w:t xml:space="preserve">A. alternata </w:t>
            </w:r>
          </w:p>
        </w:tc>
        <w:tc>
          <w:tcPr>
            <w:tcW w:w="1247" w:type="dxa"/>
          </w:tcPr>
          <w:p w:rsidR="00BB4054" w:rsidRPr="005144BE" w:rsidRDefault="00BB4054" w:rsidP="0057459F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5144BE">
              <w:rPr>
                <w:rFonts w:ascii="Times New Roman" w:hAnsi="Times New Roman"/>
                <w:sz w:val="24"/>
                <w:szCs w:val="28"/>
                <w:lang w:val="uk-UA"/>
              </w:rPr>
              <w:t>0,0</w:t>
            </w:r>
          </w:p>
        </w:tc>
        <w:tc>
          <w:tcPr>
            <w:tcW w:w="1247" w:type="dxa"/>
          </w:tcPr>
          <w:p w:rsidR="00BB4054" w:rsidRPr="005144BE" w:rsidRDefault="00BB4054" w:rsidP="0057459F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5144BE">
              <w:rPr>
                <w:rFonts w:ascii="Times New Roman" w:hAnsi="Times New Roman"/>
                <w:sz w:val="24"/>
                <w:szCs w:val="28"/>
                <w:lang w:val="uk-UA"/>
              </w:rPr>
              <w:t>21,2±0,3</w:t>
            </w:r>
          </w:p>
        </w:tc>
        <w:tc>
          <w:tcPr>
            <w:tcW w:w="1247" w:type="dxa"/>
          </w:tcPr>
          <w:p w:rsidR="00BB4054" w:rsidRPr="005144BE" w:rsidRDefault="00BB4054" w:rsidP="0057459F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5144BE">
              <w:rPr>
                <w:rFonts w:ascii="Times New Roman" w:hAnsi="Times New Roman"/>
                <w:sz w:val="24"/>
                <w:szCs w:val="28"/>
                <w:lang w:val="uk-UA"/>
              </w:rPr>
              <w:t>22,7±0,6</w:t>
            </w:r>
          </w:p>
        </w:tc>
        <w:tc>
          <w:tcPr>
            <w:tcW w:w="1247" w:type="dxa"/>
            <w:shd w:val="clear" w:color="auto" w:fill="BFBFBF" w:themeFill="background1" w:themeFillShade="BF"/>
          </w:tcPr>
          <w:p w:rsidR="00BB4054" w:rsidRPr="005144BE" w:rsidRDefault="00BB4054" w:rsidP="0057459F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5144BE">
              <w:rPr>
                <w:rFonts w:ascii="Times New Roman" w:hAnsi="Times New Roman"/>
                <w:sz w:val="24"/>
                <w:szCs w:val="28"/>
                <w:lang w:val="uk-UA"/>
              </w:rPr>
              <w:t>55,5±2,0</w:t>
            </w:r>
          </w:p>
        </w:tc>
        <w:tc>
          <w:tcPr>
            <w:tcW w:w="1276" w:type="dxa"/>
          </w:tcPr>
          <w:p w:rsidR="00BB4054" w:rsidRPr="005144BE" w:rsidRDefault="00BB4054" w:rsidP="0057459F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5144BE">
              <w:rPr>
                <w:rFonts w:ascii="Times New Roman" w:hAnsi="Times New Roman"/>
                <w:sz w:val="24"/>
                <w:szCs w:val="28"/>
                <w:lang w:val="uk-UA"/>
              </w:rPr>
              <w:t>55,0±1,6</w:t>
            </w:r>
          </w:p>
        </w:tc>
      </w:tr>
      <w:tr w:rsidR="00BB4054" w:rsidRPr="005144BE" w:rsidTr="00BB4054">
        <w:trPr>
          <w:trHeight w:val="326"/>
          <w:jc w:val="center"/>
        </w:trPr>
        <w:tc>
          <w:tcPr>
            <w:tcW w:w="754" w:type="dxa"/>
          </w:tcPr>
          <w:p w:rsidR="00BB4054" w:rsidRPr="005144BE" w:rsidRDefault="00BB4054" w:rsidP="00703EEF">
            <w:pPr>
              <w:widowControl w:val="0"/>
              <w:spacing w:after="0" w:line="360" w:lineRule="auto"/>
              <w:rPr>
                <w:rFonts w:ascii="Times New Roman" w:hAnsi="Times New Roman"/>
                <w:iCs/>
                <w:sz w:val="24"/>
                <w:szCs w:val="28"/>
                <w:lang w:val="uk-UA"/>
              </w:rPr>
            </w:pPr>
            <w:r w:rsidRPr="005144BE">
              <w:rPr>
                <w:rFonts w:ascii="Times New Roman" w:hAnsi="Times New Roman"/>
                <w:iCs/>
                <w:sz w:val="24"/>
                <w:szCs w:val="28"/>
                <w:lang w:val="uk-UA"/>
              </w:rPr>
              <w:t>2</w:t>
            </w:r>
            <w:r w:rsidRPr="005144BE">
              <w:rPr>
                <w:rFonts w:ascii="Times New Roman" w:hAnsi="Times New Roman"/>
                <w:iCs/>
                <w:sz w:val="24"/>
                <w:szCs w:val="28"/>
                <w:lang w:val="uk-UA"/>
              </w:rPr>
              <w:t>.</w:t>
            </w:r>
          </w:p>
        </w:tc>
        <w:tc>
          <w:tcPr>
            <w:tcW w:w="2474" w:type="dxa"/>
          </w:tcPr>
          <w:p w:rsidR="00BB4054" w:rsidRPr="005144BE" w:rsidRDefault="00BB4054" w:rsidP="00703EEF">
            <w:pPr>
              <w:widowControl w:val="0"/>
              <w:spacing w:after="0" w:line="360" w:lineRule="auto"/>
              <w:rPr>
                <w:rFonts w:ascii="Times New Roman" w:hAnsi="Times New Roman"/>
                <w:i/>
                <w:iCs/>
                <w:sz w:val="24"/>
                <w:szCs w:val="28"/>
                <w:lang w:val="uk-UA"/>
              </w:rPr>
            </w:pPr>
            <w:r w:rsidRPr="005144BE">
              <w:rPr>
                <w:rFonts w:ascii="Times New Roman" w:hAnsi="Times New Roman"/>
                <w:i/>
                <w:iCs/>
                <w:sz w:val="24"/>
                <w:szCs w:val="28"/>
                <w:lang w:val="uk-UA"/>
              </w:rPr>
              <w:t xml:space="preserve">C. cladosporioides </w:t>
            </w:r>
          </w:p>
        </w:tc>
        <w:tc>
          <w:tcPr>
            <w:tcW w:w="1247" w:type="dxa"/>
          </w:tcPr>
          <w:p w:rsidR="00BB4054" w:rsidRPr="005144BE" w:rsidRDefault="00BB4054" w:rsidP="00703EEF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5144BE">
              <w:rPr>
                <w:rFonts w:ascii="Times New Roman" w:hAnsi="Times New Roman"/>
                <w:sz w:val="24"/>
                <w:szCs w:val="28"/>
                <w:lang w:val="uk-UA"/>
              </w:rPr>
              <w:t>23,3±0,6</w:t>
            </w:r>
          </w:p>
        </w:tc>
        <w:tc>
          <w:tcPr>
            <w:tcW w:w="1247" w:type="dxa"/>
          </w:tcPr>
          <w:p w:rsidR="00BB4054" w:rsidRPr="005144BE" w:rsidRDefault="00BB4054" w:rsidP="00703EEF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5144BE">
              <w:rPr>
                <w:rFonts w:ascii="Times New Roman" w:hAnsi="Times New Roman"/>
                <w:sz w:val="24"/>
                <w:szCs w:val="28"/>
                <w:lang w:val="uk-UA"/>
              </w:rPr>
              <w:t>23,6±1,3</w:t>
            </w:r>
          </w:p>
        </w:tc>
        <w:tc>
          <w:tcPr>
            <w:tcW w:w="1247" w:type="dxa"/>
          </w:tcPr>
          <w:p w:rsidR="00BB4054" w:rsidRPr="005144BE" w:rsidRDefault="00BB4054" w:rsidP="00703EEF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5144BE">
              <w:rPr>
                <w:rFonts w:ascii="Times New Roman" w:hAnsi="Times New Roman"/>
                <w:sz w:val="24"/>
                <w:szCs w:val="28"/>
                <w:lang w:val="uk-UA"/>
              </w:rPr>
              <w:t>22,9±1,5</w:t>
            </w:r>
          </w:p>
        </w:tc>
        <w:tc>
          <w:tcPr>
            <w:tcW w:w="1247" w:type="dxa"/>
            <w:shd w:val="clear" w:color="auto" w:fill="BFBFBF" w:themeFill="background1" w:themeFillShade="BF"/>
          </w:tcPr>
          <w:p w:rsidR="00BB4054" w:rsidRPr="005144BE" w:rsidRDefault="00BB4054" w:rsidP="00703EEF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5144BE">
              <w:rPr>
                <w:rFonts w:ascii="Times New Roman" w:hAnsi="Times New Roman"/>
                <w:sz w:val="24"/>
                <w:szCs w:val="28"/>
                <w:lang w:val="uk-UA"/>
              </w:rPr>
              <w:t>87,8±3,2</w:t>
            </w:r>
          </w:p>
        </w:tc>
        <w:tc>
          <w:tcPr>
            <w:tcW w:w="1276" w:type="dxa"/>
          </w:tcPr>
          <w:p w:rsidR="00BB4054" w:rsidRPr="005144BE" w:rsidRDefault="00BB4054" w:rsidP="00703EEF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5144BE">
              <w:rPr>
                <w:rFonts w:ascii="Times New Roman" w:hAnsi="Times New Roman"/>
                <w:sz w:val="24"/>
                <w:szCs w:val="28"/>
                <w:lang w:val="uk-UA"/>
              </w:rPr>
              <w:t>15,3±0,7</w:t>
            </w:r>
          </w:p>
        </w:tc>
      </w:tr>
      <w:tr w:rsidR="00BB4054" w:rsidRPr="005144BE" w:rsidTr="00BB4054">
        <w:trPr>
          <w:trHeight w:val="326"/>
          <w:jc w:val="center"/>
        </w:trPr>
        <w:tc>
          <w:tcPr>
            <w:tcW w:w="754" w:type="dxa"/>
          </w:tcPr>
          <w:p w:rsidR="00BB4054" w:rsidRPr="005144BE" w:rsidRDefault="00BB4054" w:rsidP="00F46ED8">
            <w:pPr>
              <w:widowControl w:val="0"/>
              <w:spacing w:after="0" w:line="360" w:lineRule="auto"/>
              <w:rPr>
                <w:rFonts w:ascii="Times New Roman" w:hAnsi="Times New Roman"/>
                <w:iCs/>
                <w:sz w:val="24"/>
                <w:szCs w:val="28"/>
                <w:lang w:val="uk-UA"/>
              </w:rPr>
            </w:pPr>
            <w:r w:rsidRPr="005144BE">
              <w:rPr>
                <w:rFonts w:ascii="Times New Roman" w:hAnsi="Times New Roman"/>
                <w:iCs/>
                <w:sz w:val="24"/>
                <w:szCs w:val="28"/>
                <w:lang w:val="uk-UA"/>
              </w:rPr>
              <w:t>3</w:t>
            </w:r>
            <w:r w:rsidRPr="005144BE">
              <w:rPr>
                <w:rFonts w:ascii="Times New Roman" w:hAnsi="Times New Roman"/>
                <w:iCs/>
                <w:sz w:val="24"/>
                <w:szCs w:val="28"/>
                <w:lang w:val="uk-UA"/>
              </w:rPr>
              <w:t>.</w:t>
            </w:r>
          </w:p>
        </w:tc>
        <w:tc>
          <w:tcPr>
            <w:tcW w:w="2474" w:type="dxa"/>
          </w:tcPr>
          <w:p w:rsidR="00BB4054" w:rsidRPr="005144BE" w:rsidRDefault="00BB4054" w:rsidP="00F46ED8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5144BE">
              <w:rPr>
                <w:rFonts w:ascii="Times New Roman" w:hAnsi="Times New Roman"/>
                <w:i/>
                <w:iCs/>
                <w:sz w:val="24"/>
                <w:szCs w:val="28"/>
                <w:lang w:val="uk-UA"/>
              </w:rPr>
              <w:t xml:space="preserve">C. sphaerospermum </w:t>
            </w:r>
          </w:p>
        </w:tc>
        <w:tc>
          <w:tcPr>
            <w:tcW w:w="1247" w:type="dxa"/>
          </w:tcPr>
          <w:p w:rsidR="00BB4054" w:rsidRPr="005144BE" w:rsidRDefault="00BB4054" w:rsidP="00F46ED8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5144BE">
              <w:rPr>
                <w:rFonts w:ascii="Times New Roman" w:hAnsi="Times New Roman"/>
                <w:sz w:val="24"/>
                <w:szCs w:val="28"/>
                <w:lang w:val="uk-UA"/>
              </w:rPr>
              <w:t>31,1±1,0</w:t>
            </w:r>
          </w:p>
        </w:tc>
        <w:tc>
          <w:tcPr>
            <w:tcW w:w="1247" w:type="dxa"/>
          </w:tcPr>
          <w:p w:rsidR="00BB4054" w:rsidRPr="005144BE" w:rsidRDefault="00BB4054" w:rsidP="00F46ED8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5144BE">
              <w:rPr>
                <w:rFonts w:ascii="Times New Roman" w:hAnsi="Times New Roman"/>
                <w:sz w:val="24"/>
                <w:szCs w:val="28"/>
                <w:lang w:val="uk-UA"/>
              </w:rPr>
              <w:t>22,5±0,6</w:t>
            </w:r>
          </w:p>
        </w:tc>
        <w:tc>
          <w:tcPr>
            <w:tcW w:w="1247" w:type="dxa"/>
          </w:tcPr>
          <w:p w:rsidR="00BB4054" w:rsidRPr="005144BE" w:rsidRDefault="00BB4054" w:rsidP="00F46ED8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5144BE">
              <w:rPr>
                <w:rFonts w:ascii="Times New Roman" w:hAnsi="Times New Roman"/>
                <w:sz w:val="24"/>
                <w:szCs w:val="28"/>
                <w:lang w:val="uk-UA"/>
              </w:rPr>
              <w:t>21,8±0,6</w:t>
            </w:r>
          </w:p>
        </w:tc>
        <w:tc>
          <w:tcPr>
            <w:tcW w:w="1247" w:type="dxa"/>
            <w:shd w:val="clear" w:color="auto" w:fill="BFBFBF" w:themeFill="background1" w:themeFillShade="BF"/>
          </w:tcPr>
          <w:p w:rsidR="00BB4054" w:rsidRPr="005144BE" w:rsidRDefault="00BB4054" w:rsidP="00F46ED8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5144BE">
              <w:rPr>
                <w:rFonts w:ascii="Times New Roman" w:hAnsi="Times New Roman"/>
                <w:sz w:val="24"/>
                <w:szCs w:val="28"/>
                <w:lang w:val="uk-UA"/>
              </w:rPr>
              <w:t>62,2±2,0</w:t>
            </w:r>
          </w:p>
        </w:tc>
        <w:tc>
          <w:tcPr>
            <w:tcW w:w="1276" w:type="dxa"/>
          </w:tcPr>
          <w:p w:rsidR="00BB4054" w:rsidRPr="005144BE" w:rsidRDefault="00BB4054" w:rsidP="00F46ED8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5144BE">
              <w:rPr>
                <w:rFonts w:ascii="Times New Roman" w:hAnsi="Times New Roman"/>
                <w:sz w:val="24"/>
                <w:szCs w:val="28"/>
                <w:lang w:val="uk-UA"/>
              </w:rPr>
              <w:t>12,5±0,5</w:t>
            </w:r>
          </w:p>
        </w:tc>
      </w:tr>
    </w:tbl>
    <w:p w:rsidR="00BB4054" w:rsidRPr="005144BE" w:rsidRDefault="00BB4054" w:rsidP="00BB4054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:rsidR="00BB4054" w:rsidRPr="005144BE" w:rsidRDefault="00BB4054" w:rsidP="00BB4054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8"/>
          <w:lang w:val="uk-UA" w:eastAsia="en-US"/>
        </w:rPr>
      </w:pPr>
      <w:r w:rsidRPr="005144BE">
        <w:rPr>
          <w:rFonts w:ascii="Times New Roman" w:hAnsi="Times New Roman"/>
          <w:sz w:val="24"/>
          <w:szCs w:val="28"/>
          <w:lang w:val="uk-UA" w:eastAsia="en-US"/>
        </w:rPr>
        <w:t xml:space="preserve">Згідно отриманих результатів, речовина J1 взагалі не спричиняла інгібування </w:t>
      </w:r>
      <w:r w:rsidRPr="005144BE">
        <w:rPr>
          <w:rFonts w:ascii="Times New Roman" w:eastAsia="Calibri" w:hAnsi="Times New Roman"/>
          <w:i/>
          <w:sz w:val="24"/>
          <w:szCs w:val="28"/>
          <w:lang w:val="uk-UA"/>
        </w:rPr>
        <w:t>A.  alternata</w:t>
      </w:r>
      <w:r w:rsidRPr="005144BE">
        <w:rPr>
          <w:rFonts w:ascii="Times New Roman" w:hAnsi="Times New Roman"/>
          <w:sz w:val="24"/>
          <w:szCs w:val="28"/>
          <w:lang w:val="uk-UA" w:eastAsia="en-US"/>
        </w:rPr>
        <w:t xml:space="preserve">, однак проявляла помірну фунгіцидну щодо </w:t>
      </w:r>
      <w:r w:rsidRPr="005144BE">
        <w:rPr>
          <w:rFonts w:ascii="Times New Roman" w:hAnsi="Times New Roman"/>
          <w:i/>
          <w:iCs/>
          <w:sz w:val="24"/>
          <w:szCs w:val="28"/>
          <w:lang w:val="uk-UA" w:eastAsia="en-US"/>
        </w:rPr>
        <w:t xml:space="preserve">C. cladosporioides </w:t>
      </w:r>
      <w:r w:rsidRPr="005144BE">
        <w:rPr>
          <w:rFonts w:ascii="Times New Roman" w:hAnsi="Times New Roman"/>
          <w:sz w:val="24"/>
          <w:szCs w:val="28"/>
          <w:lang w:val="uk-UA" w:eastAsia="en-US"/>
        </w:rPr>
        <w:t xml:space="preserve">та високу щодо </w:t>
      </w:r>
      <w:r w:rsidRPr="005144BE">
        <w:rPr>
          <w:rFonts w:ascii="Times New Roman" w:hAnsi="Times New Roman"/>
          <w:i/>
          <w:iCs/>
          <w:sz w:val="24"/>
          <w:szCs w:val="28"/>
          <w:lang w:val="uk-UA" w:eastAsia="en-US"/>
        </w:rPr>
        <w:t>C. sphaerospermum</w:t>
      </w:r>
      <w:r w:rsidRPr="005144BE">
        <w:rPr>
          <w:rFonts w:ascii="Times New Roman" w:hAnsi="Times New Roman"/>
          <w:sz w:val="24"/>
          <w:szCs w:val="28"/>
          <w:lang w:val="uk-UA" w:eastAsia="en-US"/>
        </w:rPr>
        <w:t xml:space="preserve">. Речовини М1-ЕДА та М1-ДЕТА мали помірну фунгіцидну активність щодо досліджених видів. </w:t>
      </w:r>
    </w:p>
    <w:p w:rsidR="00BB4054" w:rsidRPr="005144BE" w:rsidRDefault="00BB4054" w:rsidP="00BB4054">
      <w:pPr>
        <w:widowControl w:val="0"/>
        <w:spacing w:after="0" w:line="360" w:lineRule="auto"/>
        <w:ind w:firstLine="567"/>
        <w:jc w:val="both"/>
        <w:rPr>
          <w:rFonts w:ascii="Times New Roman" w:eastAsia="Calibri" w:hAnsi="Times New Roman"/>
          <w:sz w:val="24"/>
          <w:szCs w:val="28"/>
          <w:lang w:val="uk-UA"/>
        </w:rPr>
      </w:pPr>
      <w:r w:rsidRPr="005144BE">
        <w:rPr>
          <w:rFonts w:ascii="Times New Roman" w:hAnsi="Times New Roman"/>
          <w:sz w:val="24"/>
          <w:szCs w:val="28"/>
          <w:lang w:val="uk-UA" w:eastAsia="en-US"/>
        </w:rPr>
        <w:t xml:space="preserve">Щодо М1 та ПГМГ, відмічено, що дані речовини мала високу фунгіцидну активність майже щодо всіх досліджених ізолятів. </w:t>
      </w:r>
      <w:r w:rsidRPr="005144BE">
        <w:rPr>
          <w:rFonts w:ascii="Times New Roman" w:eastAsia="Calibri" w:hAnsi="Times New Roman"/>
          <w:sz w:val="24"/>
          <w:szCs w:val="28"/>
          <w:lang w:val="uk-UA"/>
        </w:rPr>
        <w:t xml:space="preserve">Активність еталону ПГМГ була меншою в порівнянні з М1 щодо </w:t>
      </w:r>
      <w:r w:rsidRPr="005144BE">
        <w:rPr>
          <w:rFonts w:ascii="Times New Roman" w:hAnsi="Times New Roman"/>
          <w:i/>
          <w:iCs/>
          <w:sz w:val="24"/>
          <w:szCs w:val="28"/>
          <w:lang w:val="uk-UA" w:eastAsia="en-US"/>
        </w:rPr>
        <w:t xml:space="preserve">C. cladosporioides </w:t>
      </w:r>
      <w:r w:rsidRPr="005144BE">
        <w:rPr>
          <w:rFonts w:ascii="Times New Roman" w:hAnsi="Times New Roman"/>
          <w:iCs/>
          <w:sz w:val="24"/>
          <w:szCs w:val="28"/>
          <w:lang w:val="uk-UA" w:eastAsia="en-US"/>
        </w:rPr>
        <w:t xml:space="preserve">та </w:t>
      </w:r>
      <w:r w:rsidRPr="005144BE">
        <w:rPr>
          <w:rFonts w:ascii="Times New Roman" w:hAnsi="Times New Roman"/>
          <w:i/>
          <w:iCs/>
          <w:sz w:val="24"/>
          <w:szCs w:val="28"/>
          <w:lang w:val="uk-UA" w:eastAsia="en-US"/>
        </w:rPr>
        <w:t>C. sphaerospermum</w:t>
      </w:r>
      <w:r w:rsidRPr="005144BE">
        <w:rPr>
          <w:rFonts w:ascii="Times New Roman" w:hAnsi="Times New Roman"/>
          <w:iCs/>
          <w:sz w:val="24"/>
          <w:szCs w:val="28"/>
          <w:lang w:val="uk-UA" w:eastAsia="en-US"/>
        </w:rPr>
        <w:t>,</w:t>
      </w:r>
      <w:r w:rsidRPr="005144BE">
        <w:rPr>
          <w:rFonts w:ascii="Times New Roman" w:eastAsia="Calibri" w:hAnsi="Times New Roman"/>
          <w:i/>
          <w:sz w:val="24"/>
          <w:szCs w:val="28"/>
          <w:lang w:val="uk-UA"/>
        </w:rPr>
        <w:t xml:space="preserve"> </w:t>
      </w:r>
      <w:r w:rsidRPr="005144BE">
        <w:rPr>
          <w:rFonts w:ascii="Times New Roman" w:eastAsia="Calibri" w:hAnsi="Times New Roman"/>
          <w:sz w:val="24"/>
          <w:szCs w:val="28"/>
          <w:lang w:val="uk-UA"/>
        </w:rPr>
        <w:t xml:space="preserve">приблизно однаковою – щодо </w:t>
      </w:r>
      <w:r w:rsidRPr="005144BE">
        <w:rPr>
          <w:rFonts w:ascii="Times New Roman" w:eastAsia="Calibri" w:hAnsi="Times New Roman"/>
          <w:i/>
          <w:sz w:val="24"/>
          <w:szCs w:val="28"/>
          <w:lang w:val="uk-UA"/>
        </w:rPr>
        <w:t xml:space="preserve">A. alternata. </w:t>
      </w:r>
    </w:p>
    <w:p w:rsidR="00BB4054" w:rsidRPr="005144BE" w:rsidRDefault="005144BE" w:rsidP="00BB4054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8"/>
          <w:lang w:val="uk-UA" w:eastAsia="en-US"/>
        </w:rPr>
      </w:pPr>
      <w:r w:rsidRPr="005144BE">
        <w:rPr>
          <w:rFonts w:ascii="Times New Roman" w:hAnsi="Times New Roman"/>
          <w:sz w:val="24"/>
          <w:szCs w:val="28"/>
          <w:lang w:val="uk-UA" w:eastAsia="en-US"/>
        </w:rPr>
        <w:t xml:space="preserve">Таким чином нами було експериментально обґрунтовано доцільність використання </w:t>
      </w:r>
      <w:r w:rsidRPr="005144BE">
        <w:rPr>
          <w:rFonts w:ascii="Times New Roman" w:hAnsi="Times New Roman" w:cs="Times New Roman"/>
          <w:sz w:val="24"/>
          <w:lang w:val="uk-UA"/>
        </w:rPr>
        <w:t>олігомерної похідної гуанідину, що містить пропан-2,2-диілдибензенову хімічну групу для обробки приміщень книгосховищ та дерев’яних меблів для зниження життєздатних мікроскопічних грибів на їх поверхнях.</w:t>
      </w:r>
    </w:p>
    <w:p w:rsidR="00BA676C" w:rsidRPr="005144BE" w:rsidRDefault="00E0434A" w:rsidP="00E0434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5144BE">
        <w:rPr>
          <w:rFonts w:ascii="Times New Roman" w:hAnsi="Times New Roman" w:cs="Times New Roman"/>
          <w:b/>
          <w:sz w:val="24"/>
        </w:rPr>
        <w:t>Література</w:t>
      </w:r>
    </w:p>
    <w:p w:rsidR="00080DA8" w:rsidRPr="005144BE" w:rsidRDefault="005144BE" w:rsidP="00080D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144BE">
        <w:rPr>
          <w:rFonts w:ascii="Times New Roman" w:hAnsi="Times New Roman" w:cs="Times New Roman"/>
          <w:sz w:val="24"/>
          <w:lang w:val="uk-UA"/>
        </w:rPr>
        <w:t>1</w:t>
      </w:r>
      <w:r w:rsidR="00080DA8" w:rsidRPr="005144BE">
        <w:rPr>
          <w:rFonts w:ascii="Times New Roman" w:hAnsi="Times New Roman" w:cs="Times New Roman"/>
          <w:sz w:val="24"/>
        </w:rPr>
        <w:t>.</w:t>
      </w:r>
      <w:r w:rsidR="00080DA8" w:rsidRPr="005144BE">
        <w:t xml:space="preserve"> </w:t>
      </w:r>
      <w:r w:rsidR="00080DA8" w:rsidRPr="005144BE">
        <w:rPr>
          <w:rFonts w:ascii="Times New Roman" w:hAnsi="Times New Roman" w:cs="Times New Roman"/>
          <w:sz w:val="24"/>
        </w:rPr>
        <w:t xml:space="preserve">Антропова А. Б. Микромицеты как источник аллергенов в жилых помещениях г. Москвы // Автореф. дисс. на соискание </w:t>
      </w:r>
      <w:proofErr w:type="spellStart"/>
      <w:r w:rsidR="00080DA8" w:rsidRPr="005144BE">
        <w:rPr>
          <w:rFonts w:ascii="Times New Roman" w:hAnsi="Times New Roman" w:cs="Times New Roman"/>
          <w:sz w:val="24"/>
        </w:rPr>
        <w:t>уч</w:t>
      </w:r>
      <w:proofErr w:type="spellEnd"/>
      <w:r w:rsidR="00080DA8" w:rsidRPr="005144BE">
        <w:rPr>
          <w:rFonts w:ascii="Times New Roman" w:hAnsi="Times New Roman" w:cs="Times New Roman"/>
          <w:sz w:val="24"/>
        </w:rPr>
        <w:t>. степ</w:t>
      </w:r>
      <w:proofErr w:type="gramStart"/>
      <w:r w:rsidR="00080DA8" w:rsidRPr="005144BE">
        <w:rPr>
          <w:rFonts w:ascii="Times New Roman" w:hAnsi="Times New Roman" w:cs="Times New Roman"/>
          <w:sz w:val="24"/>
        </w:rPr>
        <w:t>.</w:t>
      </w:r>
      <w:proofErr w:type="gramEnd"/>
      <w:r w:rsidR="00080DA8" w:rsidRPr="005144BE">
        <w:rPr>
          <w:rFonts w:ascii="Times New Roman" w:hAnsi="Times New Roman" w:cs="Times New Roman"/>
          <w:sz w:val="24"/>
        </w:rPr>
        <w:t xml:space="preserve"> </w:t>
      </w:r>
      <w:proofErr w:type="gramStart"/>
      <w:r w:rsidR="00080DA8" w:rsidRPr="005144BE">
        <w:rPr>
          <w:rFonts w:ascii="Times New Roman" w:hAnsi="Times New Roman" w:cs="Times New Roman"/>
          <w:sz w:val="24"/>
        </w:rPr>
        <w:t>к</w:t>
      </w:r>
      <w:proofErr w:type="gramEnd"/>
      <w:r w:rsidR="00080DA8" w:rsidRPr="005144BE">
        <w:rPr>
          <w:rFonts w:ascii="Times New Roman" w:hAnsi="Times New Roman" w:cs="Times New Roman"/>
          <w:sz w:val="24"/>
        </w:rPr>
        <w:t>.б.н., М.: 2005.– 24 с.</w:t>
      </w:r>
    </w:p>
    <w:p w:rsidR="00080DA8" w:rsidRPr="005144BE" w:rsidRDefault="005144BE" w:rsidP="00080D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5144BE">
        <w:rPr>
          <w:rFonts w:ascii="Times New Roman" w:hAnsi="Times New Roman" w:cs="Times New Roman"/>
          <w:sz w:val="24"/>
          <w:lang w:val="uk-UA"/>
        </w:rPr>
        <w:t>2</w:t>
      </w:r>
      <w:r w:rsidR="00080DA8" w:rsidRPr="005144BE">
        <w:rPr>
          <w:rFonts w:ascii="Times New Roman" w:hAnsi="Times New Roman" w:cs="Times New Roman"/>
          <w:sz w:val="24"/>
          <w:lang w:val="uk-UA"/>
        </w:rPr>
        <w:t xml:space="preserve">. Сергеев А.Ю., Сергеев Ю.В. </w:t>
      </w:r>
      <w:proofErr w:type="spellStart"/>
      <w:r w:rsidR="00080DA8" w:rsidRPr="005144BE">
        <w:rPr>
          <w:rFonts w:ascii="Times New Roman" w:hAnsi="Times New Roman" w:cs="Times New Roman"/>
          <w:sz w:val="24"/>
          <w:lang w:val="uk-UA"/>
        </w:rPr>
        <w:t>Грибковые</w:t>
      </w:r>
      <w:proofErr w:type="spellEnd"/>
      <w:r w:rsidR="00080DA8" w:rsidRPr="005144BE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080DA8" w:rsidRPr="005144BE">
        <w:rPr>
          <w:rFonts w:ascii="Times New Roman" w:hAnsi="Times New Roman" w:cs="Times New Roman"/>
          <w:sz w:val="24"/>
          <w:lang w:val="uk-UA"/>
        </w:rPr>
        <w:t>инфекции</w:t>
      </w:r>
      <w:proofErr w:type="spellEnd"/>
      <w:r w:rsidR="00080DA8" w:rsidRPr="005144BE">
        <w:rPr>
          <w:rFonts w:ascii="Times New Roman" w:hAnsi="Times New Roman" w:cs="Times New Roman"/>
          <w:sz w:val="24"/>
          <w:lang w:val="uk-UA"/>
        </w:rPr>
        <w:t xml:space="preserve">. – М: </w:t>
      </w:r>
      <w:proofErr w:type="spellStart"/>
      <w:r w:rsidR="00080DA8" w:rsidRPr="005144BE">
        <w:rPr>
          <w:rFonts w:ascii="Times New Roman" w:hAnsi="Times New Roman" w:cs="Times New Roman"/>
          <w:sz w:val="24"/>
          <w:lang w:val="uk-UA"/>
        </w:rPr>
        <w:t>Изд-во</w:t>
      </w:r>
      <w:proofErr w:type="spellEnd"/>
      <w:r w:rsidR="00080DA8" w:rsidRPr="005144BE">
        <w:rPr>
          <w:rFonts w:ascii="Times New Roman" w:hAnsi="Times New Roman" w:cs="Times New Roman"/>
          <w:sz w:val="24"/>
          <w:lang w:val="uk-UA"/>
        </w:rPr>
        <w:t xml:space="preserve"> БИНОМ, 2008. – 480 с.</w:t>
      </w:r>
    </w:p>
    <w:p w:rsidR="00080DA8" w:rsidRPr="005144BE" w:rsidRDefault="005144BE" w:rsidP="00080D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5144BE">
        <w:rPr>
          <w:rFonts w:ascii="Times New Roman" w:hAnsi="Times New Roman" w:cs="Times New Roman"/>
          <w:sz w:val="24"/>
          <w:lang w:val="uk-UA"/>
        </w:rPr>
        <w:t>3</w:t>
      </w:r>
      <w:r w:rsidR="00080DA8" w:rsidRPr="005144BE">
        <w:rPr>
          <w:rFonts w:ascii="Times New Roman" w:hAnsi="Times New Roman" w:cs="Times New Roman"/>
          <w:sz w:val="24"/>
          <w:lang w:val="uk-UA"/>
        </w:rPr>
        <w:t xml:space="preserve">. Саттон Д., Фотергилл А., Ринальди М. </w:t>
      </w:r>
      <w:proofErr w:type="spellStart"/>
      <w:r w:rsidR="00080DA8" w:rsidRPr="005144BE">
        <w:rPr>
          <w:rFonts w:ascii="Times New Roman" w:hAnsi="Times New Roman" w:cs="Times New Roman"/>
          <w:sz w:val="24"/>
          <w:lang w:val="uk-UA"/>
        </w:rPr>
        <w:t>Определитель</w:t>
      </w:r>
      <w:proofErr w:type="spellEnd"/>
      <w:r w:rsidR="00080DA8" w:rsidRPr="005144BE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080DA8" w:rsidRPr="005144BE">
        <w:rPr>
          <w:rFonts w:ascii="Times New Roman" w:hAnsi="Times New Roman" w:cs="Times New Roman"/>
          <w:sz w:val="24"/>
          <w:lang w:val="uk-UA"/>
        </w:rPr>
        <w:t>патогенных</w:t>
      </w:r>
      <w:proofErr w:type="spellEnd"/>
      <w:r w:rsidR="00080DA8" w:rsidRPr="005144BE">
        <w:rPr>
          <w:rFonts w:ascii="Times New Roman" w:hAnsi="Times New Roman" w:cs="Times New Roman"/>
          <w:sz w:val="24"/>
          <w:lang w:val="uk-UA"/>
        </w:rPr>
        <w:t xml:space="preserve"> и </w:t>
      </w:r>
      <w:proofErr w:type="spellStart"/>
      <w:r w:rsidR="00080DA8" w:rsidRPr="005144BE">
        <w:rPr>
          <w:rFonts w:ascii="Times New Roman" w:hAnsi="Times New Roman" w:cs="Times New Roman"/>
          <w:sz w:val="24"/>
          <w:lang w:val="uk-UA"/>
        </w:rPr>
        <w:t>условно-патогенных</w:t>
      </w:r>
      <w:proofErr w:type="spellEnd"/>
      <w:r w:rsidR="00080DA8" w:rsidRPr="005144BE">
        <w:rPr>
          <w:rFonts w:ascii="Times New Roman" w:hAnsi="Times New Roman" w:cs="Times New Roman"/>
          <w:sz w:val="24"/>
          <w:lang w:val="uk-UA"/>
        </w:rPr>
        <w:t xml:space="preserve"> грибов. Пер с англ. К. Л. Тарасова, Ю.Н. Ковалева. [ред. И.Р. </w:t>
      </w:r>
      <w:proofErr w:type="spellStart"/>
      <w:r w:rsidR="00080DA8" w:rsidRPr="005144BE">
        <w:rPr>
          <w:rFonts w:ascii="Times New Roman" w:hAnsi="Times New Roman" w:cs="Times New Roman"/>
          <w:sz w:val="24"/>
          <w:lang w:val="uk-UA"/>
        </w:rPr>
        <w:t>Дорожковой</w:t>
      </w:r>
      <w:proofErr w:type="spellEnd"/>
      <w:r w:rsidR="00080DA8" w:rsidRPr="005144BE">
        <w:rPr>
          <w:rFonts w:ascii="Times New Roman" w:hAnsi="Times New Roman" w:cs="Times New Roman"/>
          <w:sz w:val="24"/>
          <w:lang w:val="uk-UA"/>
        </w:rPr>
        <w:t>] . – М.: Мир, 2001. – 468 с.</w:t>
      </w:r>
    </w:p>
    <w:p w:rsidR="00080DA8" w:rsidRPr="005144BE" w:rsidRDefault="005144BE" w:rsidP="00080D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5144BE">
        <w:rPr>
          <w:rFonts w:ascii="Times New Roman" w:hAnsi="Times New Roman" w:cs="Times New Roman"/>
          <w:sz w:val="24"/>
          <w:lang w:val="uk-UA"/>
        </w:rPr>
        <w:t>4</w:t>
      </w:r>
      <w:r w:rsidR="00080DA8" w:rsidRPr="005144BE">
        <w:rPr>
          <w:rFonts w:ascii="Times New Roman" w:hAnsi="Times New Roman" w:cs="Times New Roman"/>
          <w:sz w:val="24"/>
          <w:lang w:val="uk-UA"/>
        </w:rPr>
        <w:t xml:space="preserve">. </w:t>
      </w:r>
      <w:proofErr w:type="spellStart"/>
      <w:r w:rsidR="00080DA8" w:rsidRPr="005144BE">
        <w:rPr>
          <w:rFonts w:ascii="Times New Roman" w:hAnsi="Times New Roman" w:cs="Times New Roman"/>
          <w:sz w:val="24"/>
          <w:lang w:val="uk-UA"/>
        </w:rPr>
        <w:t>Indoor</w:t>
      </w:r>
      <w:proofErr w:type="spellEnd"/>
      <w:r w:rsidR="00080DA8" w:rsidRPr="005144BE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080DA8" w:rsidRPr="005144BE">
        <w:rPr>
          <w:rFonts w:ascii="Times New Roman" w:hAnsi="Times New Roman" w:cs="Times New Roman"/>
          <w:sz w:val="24"/>
          <w:lang w:val="uk-UA"/>
        </w:rPr>
        <w:t>air</w:t>
      </w:r>
      <w:proofErr w:type="spellEnd"/>
      <w:r w:rsidR="00080DA8" w:rsidRPr="005144BE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080DA8" w:rsidRPr="005144BE">
        <w:rPr>
          <w:rFonts w:ascii="Times New Roman" w:hAnsi="Times New Roman" w:cs="Times New Roman"/>
          <w:sz w:val="24"/>
          <w:lang w:val="uk-UA"/>
        </w:rPr>
        <w:t>quality</w:t>
      </w:r>
      <w:proofErr w:type="spellEnd"/>
      <w:r w:rsidR="00080DA8" w:rsidRPr="005144BE">
        <w:rPr>
          <w:rFonts w:ascii="Times New Roman" w:hAnsi="Times New Roman" w:cs="Times New Roman"/>
          <w:sz w:val="24"/>
          <w:lang w:val="uk-UA"/>
        </w:rPr>
        <w:t xml:space="preserve">: </w:t>
      </w:r>
      <w:proofErr w:type="spellStart"/>
      <w:r w:rsidR="00080DA8" w:rsidRPr="005144BE">
        <w:rPr>
          <w:rFonts w:ascii="Times New Roman" w:hAnsi="Times New Roman" w:cs="Times New Roman"/>
          <w:sz w:val="24"/>
          <w:lang w:val="uk-UA"/>
        </w:rPr>
        <w:t>biological</w:t>
      </w:r>
      <w:proofErr w:type="spellEnd"/>
      <w:r w:rsidR="00080DA8" w:rsidRPr="005144BE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080DA8" w:rsidRPr="005144BE">
        <w:rPr>
          <w:rFonts w:ascii="Times New Roman" w:hAnsi="Times New Roman" w:cs="Times New Roman"/>
          <w:sz w:val="24"/>
          <w:lang w:val="uk-UA"/>
        </w:rPr>
        <w:t>contaminants</w:t>
      </w:r>
      <w:proofErr w:type="spellEnd"/>
      <w:r w:rsidR="00080DA8" w:rsidRPr="005144BE">
        <w:rPr>
          <w:rFonts w:ascii="Times New Roman" w:hAnsi="Times New Roman" w:cs="Times New Roman"/>
          <w:sz w:val="24"/>
          <w:lang w:val="uk-UA"/>
        </w:rPr>
        <w:t xml:space="preserve">. </w:t>
      </w:r>
      <w:proofErr w:type="spellStart"/>
      <w:r w:rsidR="00080DA8" w:rsidRPr="005144BE">
        <w:rPr>
          <w:rFonts w:ascii="Times New Roman" w:hAnsi="Times New Roman" w:cs="Times New Roman"/>
          <w:sz w:val="24"/>
          <w:lang w:val="uk-UA"/>
        </w:rPr>
        <w:t>Report</w:t>
      </w:r>
      <w:proofErr w:type="spellEnd"/>
      <w:r w:rsidR="00080DA8" w:rsidRPr="005144BE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080DA8" w:rsidRPr="005144BE">
        <w:rPr>
          <w:rFonts w:ascii="Times New Roman" w:hAnsi="Times New Roman" w:cs="Times New Roman"/>
          <w:sz w:val="24"/>
          <w:lang w:val="uk-UA"/>
        </w:rPr>
        <w:t>on</w:t>
      </w:r>
      <w:proofErr w:type="spellEnd"/>
      <w:r w:rsidR="00080DA8" w:rsidRPr="005144BE">
        <w:rPr>
          <w:rFonts w:ascii="Times New Roman" w:hAnsi="Times New Roman" w:cs="Times New Roman"/>
          <w:sz w:val="24"/>
          <w:lang w:val="uk-UA"/>
        </w:rPr>
        <w:t xml:space="preserve"> a WHO </w:t>
      </w:r>
      <w:proofErr w:type="spellStart"/>
      <w:r w:rsidR="00080DA8" w:rsidRPr="005144BE">
        <w:rPr>
          <w:rFonts w:ascii="Times New Roman" w:hAnsi="Times New Roman" w:cs="Times New Roman"/>
          <w:sz w:val="24"/>
          <w:lang w:val="uk-UA"/>
        </w:rPr>
        <w:t>meeting</w:t>
      </w:r>
      <w:proofErr w:type="spellEnd"/>
      <w:r w:rsidR="00080DA8" w:rsidRPr="005144BE">
        <w:rPr>
          <w:rFonts w:ascii="Times New Roman" w:hAnsi="Times New Roman" w:cs="Times New Roman"/>
          <w:sz w:val="24"/>
          <w:lang w:val="uk-UA"/>
        </w:rPr>
        <w:t xml:space="preserve"> // </w:t>
      </w:r>
      <w:proofErr w:type="spellStart"/>
      <w:r w:rsidR="00080DA8" w:rsidRPr="005144BE">
        <w:rPr>
          <w:rFonts w:ascii="Times New Roman" w:hAnsi="Times New Roman" w:cs="Times New Roman"/>
          <w:sz w:val="24"/>
          <w:lang w:val="uk-UA"/>
        </w:rPr>
        <w:t>Copenhagen</w:t>
      </w:r>
      <w:proofErr w:type="spellEnd"/>
      <w:r w:rsidR="00080DA8" w:rsidRPr="005144BE">
        <w:rPr>
          <w:rFonts w:ascii="Times New Roman" w:hAnsi="Times New Roman" w:cs="Times New Roman"/>
          <w:sz w:val="24"/>
          <w:lang w:val="uk-UA"/>
        </w:rPr>
        <w:t xml:space="preserve">: WHO </w:t>
      </w:r>
      <w:proofErr w:type="spellStart"/>
      <w:r w:rsidR="00080DA8" w:rsidRPr="005144BE">
        <w:rPr>
          <w:rFonts w:ascii="Times New Roman" w:hAnsi="Times New Roman" w:cs="Times New Roman"/>
          <w:sz w:val="24"/>
          <w:lang w:val="uk-UA"/>
        </w:rPr>
        <w:t>Regional</w:t>
      </w:r>
      <w:proofErr w:type="spellEnd"/>
      <w:r w:rsidR="00080DA8" w:rsidRPr="005144BE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080DA8" w:rsidRPr="005144BE">
        <w:rPr>
          <w:rFonts w:ascii="Times New Roman" w:hAnsi="Times New Roman" w:cs="Times New Roman"/>
          <w:sz w:val="24"/>
          <w:lang w:val="uk-UA"/>
        </w:rPr>
        <w:t>publications</w:t>
      </w:r>
      <w:proofErr w:type="spellEnd"/>
      <w:r w:rsidR="00080DA8" w:rsidRPr="005144BE">
        <w:rPr>
          <w:rFonts w:ascii="Times New Roman" w:hAnsi="Times New Roman" w:cs="Times New Roman"/>
          <w:sz w:val="24"/>
          <w:lang w:val="uk-UA"/>
        </w:rPr>
        <w:t>. 1990. № 31. P. 1–67.</w:t>
      </w:r>
    </w:p>
    <w:p w:rsidR="00080DA8" w:rsidRPr="005144BE" w:rsidRDefault="005144BE" w:rsidP="00080D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5144BE">
        <w:rPr>
          <w:rFonts w:ascii="Times New Roman" w:hAnsi="Times New Roman" w:cs="Times New Roman"/>
          <w:sz w:val="24"/>
          <w:lang w:val="uk-UA"/>
        </w:rPr>
        <w:t>5</w:t>
      </w:r>
      <w:r w:rsidR="00080DA8" w:rsidRPr="005144BE">
        <w:rPr>
          <w:rFonts w:ascii="Times New Roman" w:hAnsi="Times New Roman" w:cs="Times New Roman"/>
          <w:sz w:val="24"/>
          <w:lang w:val="uk-UA"/>
        </w:rPr>
        <w:t xml:space="preserve">. </w:t>
      </w:r>
      <w:proofErr w:type="spellStart"/>
      <w:r w:rsidR="00080DA8" w:rsidRPr="005144BE">
        <w:rPr>
          <w:rFonts w:ascii="Times New Roman" w:hAnsi="Times New Roman" w:cs="Times New Roman"/>
          <w:sz w:val="24"/>
          <w:lang w:val="uk-UA"/>
        </w:rPr>
        <w:t>Larsen</w:t>
      </w:r>
      <w:proofErr w:type="spellEnd"/>
      <w:r w:rsidR="00080DA8" w:rsidRPr="005144BE">
        <w:rPr>
          <w:rFonts w:ascii="Times New Roman" w:hAnsi="Times New Roman" w:cs="Times New Roman"/>
          <w:sz w:val="24"/>
          <w:lang w:val="uk-UA"/>
        </w:rPr>
        <w:t xml:space="preserve"> L. </w:t>
      </w:r>
      <w:proofErr w:type="spellStart"/>
      <w:r w:rsidR="00080DA8" w:rsidRPr="005144BE">
        <w:rPr>
          <w:rFonts w:ascii="Times New Roman" w:hAnsi="Times New Roman" w:cs="Times New Roman"/>
          <w:sz w:val="24"/>
          <w:lang w:val="uk-UA"/>
        </w:rPr>
        <w:t>Fungal</w:t>
      </w:r>
      <w:proofErr w:type="spellEnd"/>
      <w:r w:rsidR="00080DA8" w:rsidRPr="005144BE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080DA8" w:rsidRPr="005144BE">
        <w:rPr>
          <w:rFonts w:ascii="Times New Roman" w:hAnsi="Times New Roman" w:cs="Times New Roman"/>
          <w:sz w:val="24"/>
          <w:lang w:val="uk-UA"/>
        </w:rPr>
        <w:t>allergens</w:t>
      </w:r>
      <w:proofErr w:type="spellEnd"/>
      <w:r w:rsidR="00080DA8" w:rsidRPr="005144BE">
        <w:rPr>
          <w:rFonts w:ascii="Times New Roman" w:hAnsi="Times New Roman" w:cs="Times New Roman"/>
          <w:sz w:val="24"/>
          <w:lang w:val="uk-UA"/>
        </w:rPr>
        <w:t xml:space="preserve"> // </w:t>
      </w:r>
      <w:proofErr w:type="spellStart"/>
      <w:r w:rsidR="00080DA8" w:rsidRPr="005144BE">
        <w:rPr>
          <w:rFonts w:ascii="Times New Roman" w:hAnsi="Times New Roman" w:cs="Times New Roman"/>
          <w:sz w:val="24"/>
          <w:lang w:val="uk-UA"/>
        </w:rPr>
        <w:t>Health</w:t>
      </w:r>
      <w:proofErr w:type="spellEnd"/>
      <w:r w:rsidR="00080DA8" w:rsidRPr="005144BE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080DA8" w:rsidRPr="005144BE">
        <w:rPr>
          <w:rFonts w:ascii="Times New Roman" w:hAnsi="Times New Roman" w:cs="Times New Roman"/>
          <w:sz w:val="24"/>
          <w:lang w:val="uk-UA"/>
        </w:rPr>
        <w:t>implifications</w:t>
      </w:r>
      <w:proofErr w:type="spellEnd"/>
      <w:r w:rsidR="00080DA8" w:rsidRPr="005144BE">
        <w:rPr>
          <w:rFonts w:ascii="Times New Roman" w:hAnsi="Times New Roman" w:cs="Times New Roman"/>
          <w:sz w:val="24"/>
          <w:lang w:val="uk-UA"/>
        </w:rPr>
        <w:t xml:space="preserve"> of fungi in </w:t>
      </w:r>
      <w:proofErr w:type="spellStart"/>
      <w:r w:rsidR="00080DA8" w:rsidRPr="005144BE">
        <w:rPr>
          <w:rFonts w:ascii="Times New Roman" w:hAnsi="Times New Roman" w:cs="Times New Roman"/>
          <w:sz w:val="24"/>
          <w:lang w:val="uk-UA"/>
        </w:rPr>
        <w:t>indoor</w:t>
      </w:r>
      <w:proofErr w:type="spellEnd"/>
      <w:r w:rsidR="00080DA8" w:rsidRPr="005144BE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080DA8" w:rsidRPr="005144BE">
        <w:rPr>
          <w:rFonts w:ascii="Times New Roman" w:hAnsi="Times New Roman" w:cs="Times New Roman"/>
          <w:sz w:val="24"/>
          <w:lang w:val="uk-UA"/>
        </w:rPr>
        <w:t>environments</w:t>
      </w:r>
      <w:proofErr w:type="spellEnd"/>
      <w:r w:rsidR="00080DA8" w:rsidRPr="005144BE">
        <w:rPr>
          <w:rFonts w:ascii="Times New Roman" w:hAnsi="Times New Roman" w:cs="Times New Roman"/>
          <w:sz w:val="24"/>
          <w:lang w:val="uk-UA"/>
        </w:rPr>
        <w:t xml:space="preserve">. </w:t>
      </w:r>
      <w:proofErr w:type="spellStart"/>
      <w:r w:rsidR="00080DA8" w:rsidRPr="005144BE">
        <w:rPr>
          <w:rFonts w:ascii="Times New Roman" w:hAnsi="Times New Roman" w:cs="Times New Roman"/>
          <w:sz w:val="24"/>
          <w:lang w:val="uk-UA"/>
        </w:rPr>
        <w:t>Air</w:t>
      </w:r>
      <w:proofErr w:type="spellEnd"/>
      <w:r w:rsidR="00080DA8" w:rsidRPr="005144BE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080DA8" w:rsidRPr="005144BE">
        <w:rPr>
          <w:rFonts w:ascii="Times New Roman" w:hAnsi="Times New Roman" w:cs="Times New Roman"/>
          <w:sz w:val="24"/>
          <w:lang w:val="uk-UA"/>
        </w:rPr>
        <w:t>quality</w:t>
      </w:r>
      <w:proofErr w:type="spellEnd"/>
      <w:r w:rsidR="00080DA8" w:rsidRPr="005144BE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080DA8" w:rsidRPr="005144BE">
        <w:rPr>
          <w:rFonts w:ascii="Times New Roman" w:hAnsi="Times New Roman" w:cs="Times New Roman"/>
          <w:sz w:val="24"/>
          <w:lang w:val="uk-UA"/>
        </w:rPr>
        <w:t>monographs</w:t>
      </w:r>
      <w:proofErr w:type="spellEnd"/>
      <w:r w:rsidR="00080DA8" w:rsidRPr="005144BE">
        <w:rPr>
          <w:rFonts w:ascii="Times New Roman" w:hAnsi="Times New Roman" w:cs="Times New Roman"/>
          <w:sz w:val="24"/>
          <w:lang w:val="uk-UA"/>
        </w:rPr>
        <w:t xml:space="preserve">. – 2. – </w:t>
      </w:r>
      <w:proofErr w:type="spellStart"/>
      <w:r w:rsidR="00080DA8" w:rsidRPr="005144BE">
        <w:rPr>
          <w:rFonts w:ascii="Times New Roman" w:hAnsi="Times New Roman" w:cs="Times New Roman"/>
          <w:sz w:val="24"/>
          <w:lang w:val="uk-UA"/>
        </w:rPr>
        <w:t>Amsterdam</w:t>
      </w:r>
      <w:proofErr w:type="spellEnd"/>
      <w:r w:rsidR="00080DA8" w:rsidRPr="005144BE">
        <w:rPr>
          <w:rFonts w:ascii="Times New Roman" w:hAnsi="Times New Roman" w:cs="Times New Roman"/>
          <w:sz w:val="24"/>
          <w:lang w:val="uk-UA"/>
        </w:rPr>
        <w:t xml:space="preserve">: </w:t>
      </w:r>
      <w:proofErr w:type="spellStart"/>
      <w:r w:rsidR="00080DA8" w:rsidRPr="005144BE">
        <w:rPr>
          <w:rFonts w:ascii="Times New Roman" w:hAnsi="Times New Roman" w:cs="Times New Roman"/>
          <w:sz w:val="24"/>
          <w:lang w:val="uk-UA"/>
        </w:rPr>
        <w:t>Elsevier</w:t>
      </w:r>
      <w:proofErr w:type="spellEnd"/>
      <w:r w:rsidR="00080DA8" w:rsidRPr="005144BE">
        <w:rPr>
          <w:rFonts w:ascii="Times New Roman" w:hAnsi="Times New Roman" w:cs="Times New Roman"/>
          <w:sz w:val="24"/>
          <w:lang w:val="uk-UA"/>
        </w:rPr>
        <w:t>, 1994. – P. 215-220.</w:t>
      </w:r>
    </w:p>
    <w:p w:rsidR="00BB4054" w:rsidRPr="00BB4054" w:rsidRDefault="005144BE" w:rsidP="00080D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5144BE">
        <w:rPr>
          <w:rFonts w:ascii="Times New Roman" w:hAnsi="Times New Roman" w:cs="Times New Roman"/>
          <w:sz w:val="24"/>
          <w:lang w:val="uk-UA"/>
        </w:rPr>
        <w:t>6</w:t>
      </w:r>
      <w:r w:rsidR="00BB4054" w:rsidRPr="005144BE">
        <w:rPr>
          <w:rFonts w:ascii="Times New Roman" w:hAnsi="Times New Roman" w:cs="Times New Roman"/>
          <w:sz w:val="24"/>
          <w:lang w:val="uk-UA"/>
        </w:rPr>
        <w:t>.</w:t>
      </w:r>
      <w:r w:rsidR="00BB4054" w:rsidRPr="005144BE">
        <w:rPr>
          <w:rFonts w:ascii="Times New Roman" w:hAnsi="Times New Roman" w:cs="Times New Roman"/>
          <w:sz w:val="24"/>
          <w:lang w:val="uk-UA"/>
        </w:rPr>
        <w:tab/>
        <w:t>Чуєнко А.І. Фунгіцидна активність гуанідинвмісних олігомерів, перспективних до застосування в гумовій промисловості / А.І. Чуєнко, М.Я. Вортман, В.В. Шевченко // Мікробіологія і біотехнологія. – 2013. – Т. 22. – № 2. – С. 97-106.</w:t>
      </w:r>
    </w:p>
    <w:p w:rsidR="00BA5850" w:rsidRDefault="00BA5850" w:rsidP="00BA58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</w:p>
    <w:p w:rsidR="005144BE" w:rsidRPr="00BA676C" w:rsidRDefault="005144BE" w:rsidP="00F635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</w:p>
    <w:sectPr w:rsidR="005144BE" w:rsidRPr="00BA676C" w:rsidSect="00966E8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66E8E"/>
    <w:rsid w:val="000562F8"/>
    <w:rsid w:val="00080DA8"/>
    <w:rsid w:val="00146610"/>
    <w:rsid w:val="004C469B"/>
    <w:rsid w:val="005144BE"/>
    <w:rsid w:val="006765DC"/>
    <w:rsid w:val="0068450A"/>
    <w:rsid w:val="00687D70"/>
    <w:rsid w:val="007C3C47"/>
    <w:rsid w:val="00840B69"/>
    <w:rsid w:val="008442C2"/>
    <w:rsid w:val="00927C4E"/>
    <w:rsid w:val="00933D2C"/>
    <w:rsid w:val="00966E8E"/>
    <w:rsid w:val="00971563"/>
    <w:rsid w:val="00B84554"/>
    <w:rsid w:val="00BA5850"/>
    <w:rsid w:val="00BA676C"/>
    <w:rsid w:val="00BB4054"/>
    <w:rsid w:val="00CA387F"/>
    <w:rsid w:val="00D7395E"/>
    <w:rsid w:val="00DA5163"/>
    <w:rsid w:val="00E0434A"/>
    <w:rsid w:val="00E9424C"/>
    <w:rsid w:val="00E95B13"/>
    <w:rsid w:val="00F63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4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Room336</dc:creator>
  <cp:keywords/>
  <dc:description/>
  <cp:lastModifiedBy>Room336</cp:lastModifiedBy>
  <cp:revision>9</cp:revision>
  <dcterms:created xsi:type="dcterms:W3CDTF">2017-06-19T10:40:00Z</dcterms:created>
  <dcterms:modified xsi:type="dcterms:W3CDTF">2018-06-22T12:06:00Z</dcterms:modified>
</cp:coreProperties>
</file>